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0D1D" w:rsidRDefault="009F0D1D">
      <w:pPr>
        <w:widowControl w:val="0"/>
        <w:pBdr>
          <w:top w:val="nil"/>
          <w:left w:val="nil"/>
          <w:bottom w:val="nil"/>
          <w:right w:val="nil"/>
          <w:between w:val="nil"/>
        </w:pBdr>
        <w:spacing w:after="0"/>
      </w:pPr>
    </w:p>
    <w:p w:rsidR="009F0D1D" w:rsidRDefault="009F0D1D">
      <w:pPr>
        <w:widowControl w:val="0"/>
        <w:pBdr>
          <w:top w:val="nil"/>
          <w:left w:val="nil"/>
          <w:bottom w:val="nil"/>
          <w:right w:val="nil"/>
          <w:between w:val="nil"/>
        </w:pBdr>
        <w:spacing w:after="0"/>
      </w:pPr>
    </w:p>
    <w:p w:rsidR="009F0D1D" w:rsidRDefault="009F0D1D">
      <w:pPr>
        <w:rPr>
          <w:b/>
        </w:rPr>
      </w:pPr>
    </w:p>
    <w:p w:rsidR="009F0D1D" w:rsidRDefault="007A6F12">
      <w:pPr>
        <w:jc w:val="center"/>
      </w:pPr>
      <w:r>
        <w:rPr>
          <w:noProof/>
          <w:lang w:val="en-US"/>
        </w:rPr>
        <w:drawing>
          <wp:inline distT="0" distB="0" distL="0" distR="0">
            <wp:extent cx="1806888" cy="1543050"/>
            <wp:effectExtent l="0" t="0" r="0" b="0"/>
            <wp:docPr id="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1806888" cy="1543050"/>
                    </a:xfrm>
                    <a:prstGeom prst="rect">
                      <a:avLst/>
                    </a:prstGeom>
                    <a:ln/>
                  </pic:spPr>
                </pic:pic>
              </a:graphicData>
            </a:graphic>
          </wp:inline>
        </w:drawing>
      </w:r>
    </w:p>
    <w:p w:rsidR="009F0D1D" w:rsidRDefault="007A6F12">
      <w:pPr>
        <w:spacing w:after="0"/>
        <w:jc w:val="center"/>
        <w:rPr>
          <w:b/>
          <w:sz w:val="40"/>
          <w:szCs w:val="40"/>
        </w:rPr>
      </w:pPr>
      <w:r>
        <w:rPr>
          <w:b/>
          <w:sz w:val="40"/>
          <w:szCs w:val="40"/>
        </w:rPr>
        <w:t>Universidad Católica de la Santísima Concepción</w:t>
      </w:r>
    </w:p>
    <w:p w:rsidR="009F0D1D" w:rsidRDefault="007A6F12">
      <w:pPr>
        <w:spacing w:after="0"/>
        <w:jc w:val="center"/>
        <w:rPr>
          <w:b/>
          <w:sz w:val="40"/>
          <w:szCs w:val="40"/>
        </w:rPr>
      </w:pPr>
      <w:r>
        <w:rPr>
          <w:b/>
          <w:sz w:val="40"/>
          <w:szCs w:val="40"/>
        </w:rPr>
        <w:t>Facultad de Medicina</w:t>
      </w:r>
    </w:p>
    <w:p w:rsidR="009F0D1D" w:rsidRDefault="007A6F12">
      <w:pPr>
        <w:spacing w:after="0"/>
        <w:jc w:val="center"/>
        <w:rPr>
          <w:b/>
          <w:sz w:val="40"/>
          <w:szCs w:val="40"/>
        </w:rPr>
      </w:pPr>
      <w:r>
        <w:rPr>
          <w:b/>
          <w:sz w:val="40"/>
          <w:szCs w:val="40"/>
        </w:rPr>
        <w:t>Carrera de Kinesiología</w:t>
      </w:r>
    </w:p>
    <w:p w:rsidR="009F0D1D" w:rsidRDefault="007A6F12">
      <w:pPr>
        <w:spacing w:before="240" w:after="240"/>
        <w:ind w:right="100"/>
        <w:jc w:val="center"/>
      </w:pPr>
      <w:r>
        <w:rPr>
          <w:rFonts w:ascii="Arial" w:eastAsia="Arial" w:hAnsi="Arial" w:cs="Arial"/>
          <w:b/>
          <w:sz w:val="24"/>
          <w:szCs w:val="24"/>
        </w:rPr>
        <w:t>ASPECTOS A CONSIDERAR PARA CREAR UN PROTOCOLO DE REHABILITACIÓN MULTISISTÉMICO QUE CUBRA LAS DEFICIENCIAS FISIOLÓGICAS CAUSADAS POR EL SAR-COV-2: UNA REVISIÓN NARRATIVA</w:t>
      </w:r>
    </w:p>
    <w:p w:rsidR="009F0D1D" w:rsidRDefault="009F0D1D"/>
    <w:p w:rsidR="009F0D1D" w:rsidRDefault="009F0D1D">
      <w:pPr>
        <w:jc w:val="center"/>
        <w:rPr>
          <w:sz w:val="24"/>
          <w:szCs w:val="24"/>
        </w:rPr>
      </w:pPr>
    </w:p>
    <w:p w:rsidR="009F0D1D" w:rsidRDefault="007A6F12">
      <w:pPr>
        <w:jc w:val="center"/>
        <w:rPr>
          <w:sz w:val="28"/>
          <w:szCs w:val="28"/>
        </w:rPr>
      </w:pPr>
      <w:r>
        <w:rPr>
          <w:sz w:val="28"/>
          <w:szCs w:val="28"/>
        </w:rPr>
        <w:t>Tesis presentada a la Facultad de Medicina de la Universidad Católica de la Santísima</w:t>
      </w:r>
      <w:r>
        <w:rPr>
          <w:sz w:val="28"/>
          <w:szCs w:val="28"/>
        </w:rPr>
        <w:t xml:space="preserve"> Concepción para optar al grado académico de Licenciado en Kinesiología.</w:t>
      </w:r>
    </w:p>
    <w:p w:rsidR="009F0D1D" w:rsidRDefault="009F0D1D"/>
    <w:p w:rsidR="009F0D1D" w:rsidRDefault="009F0D1D"/>
    <w:p w:rsidR="009F0D1D" w:rsidRDefault="009F0D1D"/>
    <w:p w:rsidR="009F0D1D" w:rsidRDefault="007A6F12">
      <w:pPr>
        <w:spacing w:after="0"/>
        <w:jc w:val="center"/>
        <w:rPr>
          <w:rFonts w:ascii="Arial" w:eastAsia="Arial" w:hAnsi="Arial" w:cs="Arial"/>
          <w:b/>
          <w:color w:val="1A161B"/>
          <w:sz w:val="24"/>
          <w:szCs w:val="24"/>
        </w:rPr>
      </w:pPr>
      <w:r>
        <w:t xml:space="preserve">                                                             </w:t>
      </w:r>
      <w:r>
        <w:rPr>
          <w:rFonts w:ascii="Arial" w:eastAsia="Arial" w:hAnsi="Arial" w:cs="Arial"/>
          <w:b/>
          <w:color w:val="1A161B"/>
          <w:sz w:val="24"/>
          <w:szCs w:val="24"/>
        </w:rPr>
        <w:t>AUTORES: Sr. Tomás Ignacio Arias Tapia</w:t>
      </w:r>
    </w:p>
    <w:p w:rsidR="009F0D1D" w:rsidRDefault="007A6F12">
      <w:pPr>
        <w:spacing w:before="240" w:after="0"/>
        <w:jc w:val="center"/>
        <w:rPr>
          <w:rFonts w:ascii="Arial" w:eastAsia="Arial" w:hAnsi="Arial" w:cs="Arial"/>
          <w:b/>
          <w:color w:val="1A161B"/>
          <w:sz w:val="24"/>
          <w:szCs w:val="24"/>
        </w:rPr>
      </w:pPr>
      <w:r>
        <w:rPr>
          <w:rFonts w:ascii="Arial" w:eastAsia="Arial" w:hAnsi="Arial" w:cs="Arial"/>
          <w:b/>
          <w:color w:val="1A161B"/>
          <w:sz w:val="24"/>
          <w:szCs w:val="24"/>
        </w:rPr>
        <w:t xml:space="preserve">                                                                      Sr. Axel S</w:t>
      </w:r>
      <w:r>
        <w:rPr>
          <w:rFonts w:ascii="Arial" w:eastAsia="Arial" w:hAnsi="Arial" w:cs="Arial"/>
          <w:b/>
          <w:color w:val="1A161B"/>
          <w:sz w:val="24"/>
          <w:szCs w:val="24"/>
        </w:rPr>
        <w:t>ebastián Roa Fuentes</w:t>
      </w:r>
    </w:p>
    <w:p w:rsidR="009F0D1D" w:rsidRDefault="007A6F12">
      <w:pPr>
        <w:spacing w:before="240" w:after="0"/>
        <w:jc w:val="center"/>
        <w:rPr>
          <w:rFonts w:ascii="Arial" w:eastAsia="Arial" w:hAnsi="Arial" w:cs="Arial"/>
          <w:b/>
          <w:color w:val="1A161B"/>
          <w:sz w:val="24"/>
          <w:szCs w:val="24"/>
        </w:rPr>
      </w:pPr>
      <w:r>
        <w:rPr>
          <w:rFonts w:ascii="Arial" w:eastAsia="Arial" w:hAnsi="Arial" w:cs="Arial"/>
          <w:b/>
          <w:color w:val="1A161B"/>
          <w:sz w:val="24"/>
          <w:szCs w:val="24"/>
        </w:rPr>
        <w:t xml:space="preserve">                                                                 Sr. Dilan Andrés Sáez Rivas                                                </w:t>
      </w:r>
    </w:p>
    <w:p w:rsidR="009F0D1D" w:rsidRDefault="007A6F12">
      <w:pPr>
        <w:spacing w:before="240" w:after="0"/>
        <w:jc w:val="center"/>
        <w:rPr>
          <w:rFonts w:ascii="Arial" w:eastAsia="Arial" w:hAnsi="Arial" w:cs="Arial"/>
          <w:b/>
          <w:color w:val="1A161B"/>
          <w:sz w:val="24"/>
          <w:szCs w:val="24"/>
        </w:rPr>
      </w:pPr>
      <w:r>
        <w:rPr>
          <w:rFonts w:ascii="Arial" w:eastAsia="Arial" w:hAnsi="Arial" w:cs="Arial"/>
          <w:b/>
          <w:color w:val="1A161B"/>
          <w:sz w:val="24"/>
          <w:szCs w:val="24"/>
        </w:rPr>
        <w:t xml:space="preserve">                     </w:t>
      </w:r>
      <w:r>
        <w:rPr>
          <w:rFonts w:ascii="Arial" w:eastAsia="Arial" w:hAnsi="Arial" w:cs="Arial"/>
          <w:b/>
          <w:color w:val="1A161B"/>
          <w:sz w:val="24"/>
          <w:szCs w:val="24"/>
        </w:rPr>
        <w:tab/>
        <w:t xml:space="preserve">                                 PROFESOR GUÍA: Sr. Aldrin Cole Ibarra</w:t>
      </w:r>
    </w:p>
    <w:p w:rsidR="009F0D1D" w:rsidRDefault="009F0D1D">
      <w:pPr>
        <w:spacing w:after="0"/>
        <w:jc w:val="center"/>
      </w:pPr>
    </w:p>
    <w:p w:rsidR="009F0D1D" w:rsidRDefault="009F0D1D">
      <w:pPr>
        <w:rPr>
          <w:b/>
        </w:rPr>
      </w:pPr>
    </w:p>
    <w:p w:rsidR="009F0D1D" w:rsidRDefault="007A6F12">
      <w:pPr>
        <w:spacing w:before="240" w:after="240"/>
        <w:jc w:val="center"/>
        <w:rPr>
          <w:b/>
        </w:rPr>
      </w:pPr>
      <w:r>
        <w:rPr>
          <w:rFonts w:ascii="Arial" w:eastAsia="Arial" w:hAnsi="Arial" w:cs="Arial"/>
          <w:b/>
          <w:color w:val="1A161B"/>
          <w:sz w:val="24"/>
          <w:szCs w:val="24"/>
        </w:rPr>
        <w:lastRenderedPageBreak/>
        <w:t>CONCEPCIÓN, CHILE</w:t>
      </w:r>
    </w:p>
    <w:p w:rsidR="009F0D1D" w:rsidRDefault="007A6F12">
      <w:pPr>
        <w:spacing w:after="0"/>
        <w:jc w:val="center"/>
        <w:rPr>
          <w:rFonts w:ascii="Arial" w:eastAsia="Arial" w:hAnsi="Arial" w:cs="Arial"/>
          <w:b/>
          <w:i/>
          <w:sz w:val="24"/>
          <w:szCs w:val="24"/>
        </w:rPr>
      </w:pPr>
      <w:r>
        <w:rPr>
          <w:rFonts w:ascii="Arial" w:eastAsia="Arial" w:hAnsi="Arial" w:cs="Arial"/>
          <w:b/>
          <w:i/>
          <w:sz w:val="24"/>
          <w:szCs w:val="24"/>
        </w:rPr>
        <w:t>ÍNDICE</w:t>
      </w:r>
    </w:p>
    <w:p w:rsidR="009F0D1D" w:rsidRDefault="009F0D1D">
      <w:pPr>
        <w:spacing w:after="0"/>
        <w:jc w:val="center"/>
        <w:rPr>
          <w:rFonts w:ascii="Arial" w:eastAsia="Arial" w:hAnsi="Arial" w:cs="Arial"/>
          <w:b/>
          <w:i/>
          <w:sz w:val="24"/>
          <w:szCs w:val="24"/>
        </w:rPr>
      </w:pP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Portada………………………………………………………………….…..….1</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Índice de contenidos……………….……………………………………….....2</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Introducción…………………………………………………………………….3</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I: Marco Teórico…………………………………………………..…4</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II: Revisión de la Literatura…...………………………….…….…10</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III: Pregunta de Investigación y Justificación……..…………………………..………………..….…………...10</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IV: Diseño de Investigación y Resultados……………...…………………………………………………….11</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V: Consideracio</w:t>
      </w:r>
      <w:r>
        <w:rPr>
          <w:rFonts w:ascii="Arial" w:eastAsia="Arial" w:hAnsi="Arial" w:cs="Arial"/>
          <w:sz w:val="24"/>
          <w:szCs w:val="24"/>
        </w:rPr>
        <w:t>nes Éticas…..……………………………………12</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VI: Análisis de datos…….…………………………………….......13</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VII: Resultados…………………………………………………….13</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VIII: Discusión………………….…………………………………..21</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IX: Conclusiones…………………………………………………..23</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X: Referencia</w:t>
      </w:r>
      <w:r>
        <w:rPr>
          <w:rFonts w:ascii="Arial" w:eastAsia="Arial" w:hAnsi="Arial" w:cs="Arial"/>
          <w:sz w:val="24"/>
          <w:szCs w:val="24"/>
        </w:rPr>
        <w:t>s bibliográficas……………………………………..24</w:t>
      </w:r>
    </w:p>
    <w:p w:rsidR="009F0D1D" w:rsidRDefault="007A6F12">
      <w:pPr>
        <w:numPr>
          <w:ilvl w:val="0"/>
          <w:numId w:val="5"/>
        </w:numPr>
        <w:spacing w:after="0" w:line="360" w:lineRule="auto"/>
        <w:rPr>
          <w:rFonts w:ascii="Arial" w:eastAsia="Arial" w:hAnsi="Arial" w:cs="Arial"/>
          <w:sz w:val="24"/>
          <w:szCs w:val="24"/>
        </w:rPr>
      </w:pPr>
      <w:r>
        <w:rPr>
          <w:rFonts w:ascii="Arial" w:eastAsia="Arial" w:hAnsi="Arial" w:cs="Arial"/>
          <w:sz w:val="24"/>
          <w:szCs w:val="24"/>
        </w:rPr>
        <w:t>Capítulo XI: Anexos………………………………………………………….27</w:t>
      </w:r>
    </w:p>
    <w:p w:rsidR="009F0D1D" w:rsidRDefault="009F0D1D"/>
    <w:p w:rsidR="009F0D1D" w:rsidRDefault="009F0D1D"/>
    <w:p w:rsidR="009F0D1D" w:rsidRDefault="009F0D1D"/>
    <w:p w:rsidR="009F0D1D" w:rsidRDefault="009F0D1D"/>
    <w:p w:rsidR="009F0D1D" w:rsidRDefault="009F0D1D"/>
    <w:p w:rsidR="009F0D1D" w:rsidRDefault="009F0D1D"/>
    <w:p w:rsidR="009F0D1D" w:rsidRDefault="009F0D1D"/>
    <w:p w:rsidR="009F0D1D" w:rsidRDefault="009F0D1D"/>
    <w:p w:rsidR="009F0D1D" w:rsidRDefault="009F0D1D"/>
    <w:p w:rsidR="009F0D1D" w:rsidRDefault="009F0D1D"/>
    <w:p w:rsidR="009F0D1D" w:rsidRDefault="009F0D1D"/>
    <w:p w:rsidR="009F0D1D" w:rsidRDefault="009F0D1D">
      <w:pPr>
        <w:jc w:val="both"/>
        <w:rPr>
          <w:rFonts w:ascii="Arial" w:eastAsia="Arial" w:hAnsi="Arial" w:cs="Arial"/>
          <w:b/>
          <w:sz w:val="24"/>
          <w:szCs w:val="24"/>
        </w:rPr>
      </w:pPr>
    </w:p>
    <w:p w:rsidR="009F0D1D" w:rsidRDefault="007A6F12">
      <w:pPr>
        <w:jc w:val="both"/>
        <w:rPr>
          <w:rFonts w:ascii="Arial" w:eastAsia="Arial" w:hAnsi="Arial" w:cs="Arial"/>
          <w:b/>
          <w:sz w:val="24"/>
          <w:szCs w:val="24"/>
        </w:rPr>
      </w:pPr>
      <w:r>
        <w:rPr>
          <w:rFonts w:ascii="Arial" w:eastAsia="Arial" w:hAnsi="Arial" w:cs="Arial"/>
          <w:b/>
          <w:sz w:val="24"/>
          <w:szCs w:val="24"/>
        </w:rPr>
        <w:lastRenderedPageBreak/>
        <w:t>INTRODUCCIÓN:</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La rehabilitación es una serie de estrategias o mecanismos que van en ayuda de dichas personas que han sufrido una enfermedad. Busca recuperar la mayor cantidad de funcionalidad perdida en una persona, mejorando su calidad de vida, reintegración social, au</w:t>
      </w:r>
      <w:r>
        <w:rPr>
          <w:rFonts w:ascii="Arial" w:eastAsia="Arial" w:hAnsi="Arial" w:cs="Arial"/>
          <w:sz w:val="24"/>
          <w:szCs w:val="24"/>
        </w:rPr>
        <w:t>mentar su capacidad funcional, devolviendo el mayor grado de independencia posible, dependiendo de la causa del problema. Es por esto que los protocolos de rehabilitación nos entregan todas las herramientas y pasos a seguir para lograr una óptima rehabilit</w:t>
      </w:r>
      <w:r>
        <w:rPr>
          <w:rFonts w:ascii="Arial" w:eastAsia="Arial" w:hAnsi="Arial" w:cs="Arial"/>
          <w:sz w:val="24"/>
          <w:szCs w:val="24"/>
        </w:rPr>
        <w:t xml:space="preserve">ación. Considerar aspectos desde lo físico hasta lo psicológico es una tarea complicada, debido a la alta variedad de factores que se tienen que tomar en cuenta. </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Cuando se habla de Covid 19, se desconocen una gran cantidad de aspectos, a pesar de que ya l</w:t>
      </w:r>
      <w:r>
        <w:rPr>
          <w:rFonts w:ascii="Arial" w:eastAsia="Arial" w:hAnsi="Arial" w:cs="Arial"/>
          <w:sz w:val="24"/>
          <w:szCs w:val="24"/>
        </w:rPr>
        <w:t>leva más de 2 años presente en la sociedad como pandemia y siendo prioridad de estudio de muchas organizaciones. La amplia gama de efectos negativos que esta enfermedad tiene sobre el cuerpo humano hace aún más difícil esta tarea. Conocer cómo afecta a cad</w:t>
      </w:r>
      <w:r>
        <w:rPr>
          <w:rFonts w:ascii="Arial" w:eastAsia="Arial" w:hAnsi="Arial" w:cs="Arial"/>
          <w:sz w:val="24"/>
          <w:szCs w:val="24"/>
        </w:rPr>
        <w:t>a sistema es información fresca y que se actualiza cada cierto tiempo. Debido a esto, la importancia de saber detalladamente los aspectos más importantes a la hora de crear un protocolo de rehabilitación post contagio de SARS-CoV 2 es fundamental para logr</w:t>
      </w:r>
      <w:r>
        <w:rPr>
          <w:rFonts w:ascii="Arial" w:eastAsia="Arial" w:hAnsi="Arial" w:cs="Arial"/>
          <w:sz w:val="24"/>
          <w:szCs w:val="24"/>
        </w:rPr>
        <w:t xml:space="preserve">ar recuperar la máxima funcionalidad. </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La idea de este proyecto es basarse en las consecuencias de contraer enfermedad, y así reunir información relevante, que se pueda demostrar, así como también que sea necesaria para entender cuál debe ser el camino a s</w:t>
      </w:r>
      <w:r>
        <w:rPr>
          <w:rFonts w:ascii="Arial" w:eastAsia="Arial" w:hAnsi="Arial" w:cs="Arial"/>
          <w:sz w:val="24"/>
          <w:szCs w:val="24"/>
        </w:rPr>
        <w:t>eguir para crear un protocolo de rehabilitación. Para esto se presenta información de la fisiopatología general del virus, explicando cómo interfiere en cada sistema, mencionando además enfermedades anexas que se generan como consecuencias de la acción del</w:t>
      </w:r>
      <w:r>
        <w:rPr>
          <w:rFonts w:ascii="Arial" w:eastAsia="Arial" w:hAnsi="Arial" w:cs="Arial"/>
          <w:sz w:val="24"/>
          <w:szCs w:val="24"/>
        </w:rPr>
        <w:t xml:space="preserve"> virus, y que pueden servir para orientar la rehabilitación. Por otra parte, se explica como algunas patologías base sirven como puente de contagio y generan consecuencias más graves para las personas. Con todo esto se hace más fácil el poder saber discrim</w:t>
      </w:r>
      <w:r>
        <w:rPr>
          <w:rFonts w:ascii="Arial" w:eastAsia="Arial" w:hAnsi="Arial" w:cs="Arial"/>
          <w:sz w:val="24"/>
          <w:szCs w:val="24"/>
        </w:rPr>
        <w:t>inar y diferenciar aquellos aspectos que son relevantes para todo aquel que quiera crear un protocolo de rehabilitación cardiorrespiratoria para personas post contagio del virus SARS-CoV 2.</w:t>
      </w:r>
    </w:p>
    <w:p w:rsidR="009F0D1D" w:rsidRDefault="009F0D1D">
      <w:pPr>
        <w:spacing w:after="0"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lastRenderedPageBreak/>
        <w:t>CAPÍTULO I:</w:t>
      </w: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MARCO TEÓRICO.</w:t>
      </w:r>
    </w:p>
    <w:p w:rsidR="009F0D1D" w:rsidRDefault="009F0D1D">
      <w:pPr>
        <w:spacing w:after="0"/>
        <w:jc w:val="both"/>
        <w:rPr>
          <w:rFonts w:ascii="Arial" w:eastAsia="Arial" w:hAnsi="Arial" w:cs="Arial"/>
          <w:sz w:val="24"/>
          <w:szCs w:val="24"/>
        </w:rPr>
      </w:pP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El COVID-19 es una enfermedad provoca</w:t>
      </w:r>
      <w:r>
        <w:rPr>
          <w:rFonts w:ascii="Arial" w:eastAsia="Arial" w:hAnsi="Arial" w:cs="Arial"/>
          <w:sz w:val="24"/>
          <w:szCs w:val="24"/>
        </w:rPr>
        <w:t>da por un tipo de virus denominado SARS-COV 2 causante del síndrome respiratorio agudo grave. Este virus forma parte de la familia de los betacoronavirus, en donde un animal actúa como huésped (específicamente un murciélago en el caso del SARS-COV2) y, por</w:t>
      </w:r>
      <w:r>
        <w:rPr>
          <w:rFonts w:ascii="Arial" w:eastAsia="Arial" w:hAnsi="Arial" w:cs="Arial"/>
          <w:sz w:val="24"/>
          <w:szCs w:val="24"/>
        </w:rPr>
        <w:t xml:space="preserve"> este medio, es transmitido a los humanos susceptibles. Los coronavirus de origen animal provocan un problema a nivel pandémico en la población. Existen antecedentes de que uno de estos tipos de virus, específicamente el MERS-COV, provocó una gran cifra de</w:t>
      </w:r>
      <w:r>
        <w:rPr>
          <w:rFonts w:ascii="Arial" w:eastAsia="Arial" w:hAnsi="Arial" w:cs="Arial"/>
          <w:sz w:val="24"/>
          <w:szCs w:val="24"/>
        </w:rPr>
        <w:t xml:space="preserve"> contagiados y fallecidos durante el 2015. Este suceso se ha repetido a nivel mundial desde 2019, donde el SARS-COV2 ha sido causa de una nueva pandemia que ha dejado más de 6 millones de muertos a nivel mundial y alrededor de 57.000 en nuestro país (1).</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E</w:t>
      </w:r>
      <w:r>
        <w:rPr>
          <w:rFonts w:ascii="Arial" w:eastAsia="Arial" w:hAnsi="Arial" w:cs="Arial"/>
          <w:sz w:val="24"/>
          <w:szCs w:val="24"/>
        </w:rPr>
        <w:t>ste SARS-COV2 está compuesto por alrededor de 30.000 bases de ARN y distintos tipos de proteínas estructurales y no estructurales, destacando las proteínas S, M, N y E, asociadas con la unión del virus a las células del organismo, su ensamblaje y replicaci</w:t>
      </w:r>
      <w:r>
        <w:rPr>
          <w:rFonts w:ascii="Arial" w:eastAsia="Arial" w:hAnsi="Arial" w:cs="Arial"/>
          <w:sz w:val="24"/>
          <w:szCs w:val="24"/>
        </w:rPr>
        <w:t>ón.</w:t>
      </w:r>
      <w:r>
        <w:rPr>
          <w:rFonts w:ascii="Arial" w:eastAsia="Arial" w:hAnsi="Arial" w:cs="Arial"/>
          <w:sz w:val="24"/>
          <w:szCs w:val="24"/>
          <w:highlight w:val="white"/>
        </w:rPr>
        <w:t xml:space="preserve"> La proteína de espiga (S) densamente glucosilada es la que utiliza para entrar a las células huésped y unirse con alta afinidad al receptor de la enzima convertidora de angiotensina 2 (ACE2), enzima que se expresa en las células alveolares tipo II. El </w:t>
      </w:r>
      <w:r>
        <w:rPr>
          <w:rFonts w:ascii="Arial" w:eastAsia="Arial" w:hAnsi="Arial" w:cs="Arial"/>
          <w:sz w:val="24"/>
          <w:szCs w:val="24"/>
          <w:highlight w:val="white"/>
        </w:rPr>
        <w:t xml:space="preserve">ARN del virus ingresa a las células del tracto respiratorio superior e inferior y es traducido a proteínas virales (2). </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En cuanto a su mecanismo de contagio, este virus se traspasa de persona a persona cuando existe un contacto estrecho entre ellas, media</w:t>
      </w:r>
      <w:r>
        <w:rPr>
          <w:rFonts w:ascii="Arial" w:eastAsia="Arial" w:hAnsi="Arial" w:cs="Arial"/>
          <w:sz w:val="24"/>
          <w:szCs w:val="24"/>
        </w:rPr>
        <w:t>nte partículas respiratorias o gotitas de saliva, las que logran alcanzar las superficies mucosas del huésped. El virus ingresa al organismo a través de la nariz, boca u ojos y se une a receptores ACE2 que actúan finalmente como receptor de unión a las cél</w:t>
      </w:r>
      <w:r>
        <w:rPr>
          <w:rFonts w:ascii="Arial" w:eastAsia="Arial" w:hAnsi="Arial" w:cs="Arial"/>
          <w:sz w:val="24"/>
          <w:szCs w:val="24"/>
        </w:rPr>
        <w:t>ulas del organismo susceptible. Estos receptores son enzimas que se encuentran ubicadas en los sistemas respiratorio y gastrointestinal. La célula afectada por este virus en el pulmón es el neumocito tipo II del alveolo, donde se produce la replicación del</w:t>
      </w:r>
      <w:r>
        <w:rPr>
          <w:rFonts w:ascii="Arial" w:eastAsia="Arial" w:hAnsi="Arial" w:cs="Arial"/>
          <w:sz w:val="24"/>
          <w:szCs w:val="24"/>
        </w:rPr>
        <w:t xml:space="preserve"> virus, lo que ocasiona dificultad respiratoria. </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 xml:space="preserve">No obstante, el tejido pulmonar no es el único tejido donde se localiza la ACE2, ya que se ha encontrado en los miocitos ventriculares, las arterias coronarias, </w:t>
      </w:r>
      <w:r>
        <w:rPr>
          <w:rFonts w:ascii="Arial" w:eastAsia="Arial" w:hAnsi="Arial" w:cs="Arial"/>
          <w:sz w:val="24"/>
          <w:szCs w:val="24"/>
        </w:rPr>
        <w:lastRenderedPageBreak/>
        <w:t>los hepatocitos, las células del túbulo conto</w:t>
      </w:r>
      <w:r>
        <w:rPr>
          <w:rFonts w:ascii="Arial" w:eastAsia="Arial" w:hAnsi="Arial" w:cs="Arial"/>
          <w:sz w:val="24"/>
          <w:szCs w:val="24"/>
        </w:rPr>
        <w:t xml:space="preserve">rneado distal, proximal y el glomérulo, los islotes pancreáticos, las células parietales gástricas, las células epiteliales del intestino delgado y las neuronas del sistema nervioso central, entre otros, afectando diversos sistemas del cuerpo. </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Una vez que</w:t>
      </w:r>
      <w:r>
        <w:rPr>
          <w:rFonts w:ascii="Arial" w:eastAsia="Arial" w:hAnsi="Arial" w:cs="Arial"/>
          <w:sz w:val="24"/>
          <w:szCs w:val="24"/>
        </w:rPr>
        <w:t xml:space="preserve"> el virus alcanza el sistema circulatorio después de replicarse en el neumocito tipo II, es capaz de infectar otros órganos que expresan ACE2 siendo capaz de generar falla orgánica múltiple (3). Dentro de las manifestaciones clínicas causadas por COVID-19 </w:t>
      </w:r>
      <w:r>
        <w:rPr>
          <w:rFonts w:ascii="Arial" w:eastAsia="Arial" w:hAnsi="Arial" w:cs="Arial"/>
          <w:sz w:val="24"/>
          <w:szCs w:val="24"/>
        </w:rPr>
        <w:t xml:space="preserve">encontramos distintos síntomas que son característicos de dicha enfermedad tales como fiebre, tos, pérdida del olfato y gusto, dificultad para respirar, dolor de garganta y cabeza, entre otros menos característicos como dolor en el pecho y cansancio (4). </w:t>
      </w:r>
    </w:p>
    <w:p w:rsidR="009F0D1D" w:rsidRDefault="009F0D1D">
      <w:pPr>
        <w:spacing w:after="0" w:line="360" w:lineRule="auto"/>
        <w:jc w:val="both"/>
        <w:rPr>
          <w:rFonts w:ascii="Arial" w:eastAsia="Arial" w:hAnsi="Arial" w:cs="Arial"/>
          <w:b/>
          <w:sz w:val="24"/>
          <w:szCs w:val="24"/>
        </w:rPr>
      </w:pP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 xml:space="preserve">Si bien la enfermedad de Covid 19 se asocia comúnmente a su predominante efecto respiratorio, últimamente se ha sumado evidencia sobre la importante repercusión que tiene en otros sistemas del cuerpo, tanto a corto como a largo plazo. Por este motivo, el </w:t>
      </w:r>
      <w:r>
        <w:rPr>
          <w:rFonts w:ascii="Arial" w:eastAsia="Arial" w:hAnsi="Arial" w:cs="Arial"/>
          <w:sz w:val="24"/>
          <w:szCs w:val="24"/>
        </w:rPr>
        <w:t>seguimiento de aquellos que sufren esta enfermedad debe ser completo y sistemático, abarcando todos los aspectos al momento de plantear intervenciones terapéuticas. Dentro de los sistemas que se ven más afectados se encuentran:</w:t>
      </w:r>
    </w:p>
    <w:p w:rsidR="009F0D1D" w:rsidRDefault="009F0D1D">
      <w:pPr>
        <w:spacing w:after="0" w:line="360" w:lineRule="auto"/>
        <w:jc w:val="both"/>
        <w:rPr>
          <w:rFonts w:ascii="Arial" w:eastAsia="Arial" w:hAnsi="Arial" w:cs="Arial"/>
          <w:sz w:val="24"/>
          <w:szCs w:val="24"/>
        </w:rPr>
      </w:pPr>
    </w:p>
    <w:p w:rsidR="009F0D1D" w:rsidRDefault="007A6F12">
      <w:pPr>
        <w:numPr>
          <w:ilvl w:val="0"/>
          <w:numId w:val="3"/>
        </w:numPr>
        <w:spacing w:after="0" w:line="360" w:lineRule="auto"/>
        <w:jc w:val="both"/>
        <w:rPr>
          <w:rFonts w:ascii="Arial" w:eastAsia="Arial" w:hAnsi="Arial" w:cs="Arial"/>
          <w:sz w:val="24"/>
          <w:szCs w:val="24"/>
        </w:rPr>
      </w:pPr>
      <w:r>
        <w:rPr>
          <w:rFonts w:ascii="Arial" w:eastAsia="Arial" w:hAnsi="Arial" w:cs="Arial"/>
          <w:b/>
          <w:sz w:val="24"/>
          <w:szCs w:val="24"/>
        </w:rPr>
        <w:t>Sistema Cardiovascular</w:t>
      </w:r>
      <w:r>
        <w:rPr>
          <w:rFonts w:ascii="Arial" w:eastAsia="Arial" w:hAnsi="Arial" w:cs="Arial"/>
          <w:sz w:val="24"/>
          <w:szCs w:val="24"/>
        </w:rPr>
        <w:t>:  En</w:t>
      </w:r>
      <w:r>
        <w:rPr>
          <w:rFonts w:ascii="Arial" w:eastAsia="Arial" w:hAnsi="Arial" w:cs="Arial"/>
          <w:sz w:val="24"/>
          <w:szCs w:val="24"/>
        </w:rPr>
        <w:t xml:space="preserve"> casos más graves, el contagio por Sars-Cov-2 es capaz de generar una inflamación sistémica provocando irritación, dolor e hinchazón en el cuerpo, además de la liberación de citoquinas, proteínas a cargo de la comunicación en la respuesta inmune, que puede</w:t>
      </w:r>
      <w:r>
        <w:rPr>
          <w:rFonts w:ascii="Arial" w:eastAsia="Arial" w:hAnsi="Arial" w:cs="Arial"/>
          <w:sz w:val="24"/>
          <w:szCs w:val="24"/>
        </w:rPr>
        <w:t xml:space="preserve">n dañar estructuras afectando al sistema cardiovascular. </w:t>
      </w:r>
    </w:p>
    <w:p w:rsidR="009F0D1D" w:rsidRDefault="007A6F12">
      <w:pPr>
        <w:spacing w:after="0" w:line="360" w:lineRule="auto"/>
        <w:ind w:left="720"/>
        <w:jc w:val="both"/>
        <w:rPr>
          <w:rFonts w:ascii="Arial" w:eastAsia="Arial" w:hAnsi="Arial" w:cs="Arial"/>
          <w:sz w:val="24"/>
          <w:szCs w:val="24"/>
        </w:rPr>
      </w:pPr>
      <w:r>
        <w:rPr>
          <w:rFonts w:ascii="Arial" w:eastAsia="Arial" w:hAnsi="Arial" w:cs="Arial"/>
          <w:sz w:val="24"/>
          <w:szCs w:val="24"/>
        </w:rPr>
        <w:t>Los receptores ACE2 presentan una gran expresión a nivel del corazón, siendo además parte importante de la homeostasis cardiovascular y responsable directa de lesión miocárdica, la cual puede genera</w:t>
      </w:r>
      <w:r>
        <w:rPr>
          <w:rFonts w:ascii="Arial" w:eastAsia="Arial" w:hAnsi="Arial" w:cs="Arial"/>
          <w:sz w:val="24"/>
          <w:szCs w:val="24"/>
        </w:rPr>
        <w:t>rse por la inflamación sistémica producida por el virus, llevando a una respuesta y estrés de la circulación coronaria, lo que se suma al incremento de la demanda de oxígeno a raíz de la hipoxia generada por el daño pulmonar (5). Dentro de las lesiones car</w:t>
      </w:r>
      <w:r>
        <w:rPr>
          <w:rFonts w:ascii="Arial" w:eastAsia="Arial" w:hAnsi="Arial" w:cs="Arial"/>
          <w:sz w:val="24"/>
          <w:szCs w:val="24"/>
        </w:rPr>
        <w:t xml:space="preserve">diovasculares se encuentra el daño miocárdico agudo (DMA), el que se ha evidenciado en pacientes </w:t>
      </w:r>
      <w:r>
        <w:rPr>
          <w:rFonts w:ascii="Arial" w:eastAsia="Arial" w:hAnsi="Arial" w:cs="Arial"/>
          <w:sz w:val="24"/>
          <w:szCs w:val="24"/>
        </w:rPr>
        <w:lastRenderedPageBreak/>
        <w:t>contagiados por Covid-19 por la presencia de miocarditis, infarto agudo de miocardio o miocardiopatía por estrés (6).</w:t>
      </w:r>
    </w:p>
    <w:p w:rsidR="009F0D1D" w:rsidRDefault="009F0D1D">
      <w:pPr>
        <w:spacing w:after="0" w:line="360" w:lineRule="auto"/>
        <w:ind w:left="720"/>
        <w:jc w:val="both"/>
        <w:rPr>
          <w:rFonts w:ascii="Arial" w:eastAsia="Arial" w:hAnsi="Arial" w:cs="Arial"/>
          <w:sz w:val="24"/>
          <w:szCs w:val="24"/>
        </w:rPr>
      </w:pPr>
    </w:p>
    <w:p w:rsidR="009F0D1D" w:rsidRDefault="007A6F12">
      <w:pPr>
        <w:numPr>
          <w:ilvl w:val="0"/>
          <w:numId w:val="3"/>
        </w:numPr>
        <w:spacing w:after="0" w:line="360" w:lineRule="auto"/>
        <w:jc w:val="both"/>
        <w:rPr>
          <w:rFonts w:ascii="Arial" w:eastAsia="Arial" w:hAnsi="Arial" w:cs="Arial"/>
          <w:sz w:val="24"/>
          <w:szCs w:val="24"/>
        </w:rPr>
      </w:pPr>
      <w:r>
        <w:rPr>
          <w:rFonts w:ascii="Arial" w:eastAsia="Arial" w:hAnsi="Arial" w:cs="Arial"/>
          <w:b/>
          <w:sz w:val="24"/>
          <w:szCs w:val="24"/>
        </w:rPr>
        <w:t>Sistema Nervioso:</w:t>
      </w:r>
      <w:r>
        <w:rPr>
          <w:rFonts w:ascii="Arial" w:eastAsia="Arial" w:hAnsi="Arial" w:cs="Arial"/>
          <w:sz w:val="24"/>
          <w:szCs w:val="24"/>
        </w:rPr>
        <w:t xml:space="preserve"> Este sistema no es el principal afectado al momento del contagio por SARS-Cov-2, ya que este virus no se caracteriza por ser de tipo neurotrópico. Según estudios recientes, la característica invasiva en este sistema se explica por la expresión de la ACE2 </w:t>
      </w:r>
      <w:r>
        <w:rPr>
          <w:rFonts w:ascii="Arial" w:eastAsia="Arial" w:hAnsi="Arial" w:cs="Arial"/>
          <w:sz w:val="24"/>
          <w:szCs w:val="24"/>
        </w:rPr>
        <w:t>en el endotelio vascular y su diseminación por el nervio olfatorio. Luego de su inhalación, el virus se une a los receptores ACE2 presentes en el endotelio y genera una inflamación en la red vascular del epitelio nasal a través de la lámina cribiforme, fac</w:t>
      </w:r>
      <w:r>
        <w:rPr>
          <w:rFonts w:ascii="Arial" w:eastAsia="Arial" w:hAnsi="Arial" w:cs="Arial"/>
          <w:sz w:val="24"/>
          <w:szCs w:val="24"/>
        </w:rPr>
        <w:t>ilitado por la presencia de leucocitos e interleucinas. Por otro lado, el nervio olfatorio actuaría como vía de acceso al sistema nervioso central mediante un mecanismo axonal retrógrado, a través también de la lámina cribiforme, generando hiposmia (7).</w:t>
      </w:r>
    </w:p>
    <w:p w:rsidR="009F0D1D" w:rsidRDefault="009F0D1D">
      <w:pPr>
        <w:spacing w:after="0" w:line="360" w:lineRule="auto"/>
        <w:ind w:left="720"/>
        <w:jc w:val="both"/>
        <w:rPr>
          <w:rFonts w:ascii="Arial" w:eastAsia="Arial" w:hAnsi="Arial" w:cs="Arial"/>
          <w:sz w:val="24"/>
          <w:szCs w:val="24"/>
        </w:rPr>
      </w:pPr>
    </w:p>
    <w:p w:rsidR="009F0D1D" w:rsidRDefault="007A6F12">
      <w:pPr>
        <w:numPr>
          <w:ilvl w:val="0"/>
          <w:numId w:val="3"/>
        </w:numPr>
        <w:spacing w:after="0" w:line="360" w:lineRule="auto"/>
        <w:jc w:val="both"/>
        <w:rPr>
          <w:rFonts w:ascii="Arial" w:eastAsia="Arial" w:hAnsi="Arial" w:cs="Arial"/>
          <w:sz w:val="24"/>
          <w:szCs w:val="24"/>
        </w:rPr>
      </w:pPr>
      <w:r>
        <w:rPr>
          <w:rFonts w:ascii="Arial" w:eastAsia="Arial" w:hAnsi="Arial" w:cs="Arial"/>
          <w:b/>
          <w:sz w:val="24"/>
          <w:szCs w:val="24"/>
        </w:rPr>
        <w:t>S</w:t>
      </w:r>
      <w:r>
        <w:rPr>
          <w:rFonts w:ascii="Arial" w:eastAsia="Arial" w:hAnsi="Arial" w:cs="Arial"/>
          <w:b/>
          <w:sz w:val="24"/>
          <w:szCs w:val="24"/>
        </w:rPr>
        <w:t>istema Muscular:</w:t>
      </w:r>
      <w:r>
        <w:rPr>
          <w:rFonts w:ascii="Arial" w:eastAsia="Arial" w:hAnsi="Arial" w:cs="Arial"/>
          <w:sz w:val="24"/>
          <w:szCs w:val="24"/>
        </w:rPr>
        <w:t xml:space="preserve"> A la hora de contraer infección por SARS-COV-2 el tiempo de hospitalización, los períodos en cama o el aislamiento, juegan un rol importante para la recuperación de quien sufra la enfermedad. Esto implica muchas veces consecuencias negativ</w:t>
      </w:r>
      <w:r>
        <w:rPr>
          <w:rFonts w:ascii="Arial" w:eastAsia="Arial" w:hAnsi="Arial" w:cs="Arial"/>
          <w:sz w:val="24"/>
          <w:szCs w:val="24"/>
        </w:rPr>
        <w:t>as y afecciones en el sistema músculo esquelético, que pueden ir desde alteraciones en la homeostasis del mismo, hasta pérdida de masa muscular. La inactividad induce a una proteolisis muscular, debido a que el sistema ubiquitina-proteosoma (vía relacionad</w:t>
      </w:r>
      <w:r>
        <w:rPr>
          <w:rFonts w:ascii="Arial" w:eastAsia="Arial" w:hAnsi="Arial" w:cs="Arial"/>
          <w:sz w:val="24"/>
          <w:szCs w:val="24"/>
        </w:rPr>
        <w:t>a con la proteolisis) contiene enzimas asociadas a la atrofia muscular y que son activadas en respuesta a la inactividad y procesos inflamatorios. Esta inactividad provoca que el sistema músculo esquelético termine asimilando e induciendo una reducción del</w:t>
      </w:r>
      <w:r>
        <w:rPr>
          <w:rFonts w:ascii="Arial" w:eastAsia="Arial" w:hAnsi="Arial" w:cs="Arial"/>
          <w:sz w:val="24"/>
          <w:szCs w:val="24"/>
        </w:rPr>
        <w:t xml:space="preserve"> tamaño de la fibra muscular y la calidad del tejido (8).</w:t>
      </w: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ind w:left="720"/>
        <w:jc w:val="both"/>
        <w:rPr>
          <w:rFonts w:ascii="Arial" w:eastAsia="Arial" w:hAnsi="Arial" w:cs="Arial"/>
          <w:sz w:val="24"/>
          <w:szCs w:val="24"/>
        </w:rPr>
      </w:pPr>
    </w:p>
    <w:p w:rsidR="009F0D1D" w:rsidRDefault="007A6F12">
      <w:pPr>
        <w:numPr>
          <w:ilvl w:val="0"/>
          <w:numId w:val="3"/>
        </w:numPr>
        <w:spacing w:after="0" w:line="360" w:lineRule="auto"/>
        <w:jc w:val="both"/>
        <w:rPr>
          <w:rFonts w:ascii="Arial" w:eastAsia="Arial" w:hAnsi="Arial" w:cs="Arial"/>
          <w:b/>
          <w:sz w:val="24"/>
          <w:szCs w:val="24"/>
        </w:rPr>
      </w:pPr>
      <w:r>
        <w:rPr>
          <w:rFonts w:ascii="Arial" w:eastAsia="Arial" w:hAnsi="Arial" w:cs="Arial"/>
          <w:b/>
          <w:sz w:val="24"/>
          <w:szCs w:val="24"/>
        </w:rPr>
        <w:t>Sistema Respiratorio:</w:t>
      </w:r>
      <w:r>
        <w:rPr>
          <w:rFonts w:ascii="Arial" w:eastAsia="Arial" w:hAnsi="Arial" w:cs="Arial"/>
          <w:sz w:val="24"/>
          <w:szCs w:val="24"/>
        </w:rPr>
        <w:t xml:space="preserve"> Este sistema es el más afectado por el virus SARS-COV-2 debido a que los principales síntomas de la infección son similares a los presentes en patologías de tipo respiratorio. Sin embargo, son las denominadas consecuencias respiratorias post-covid las que</w:t>
      </w:r>
      <w:r>
        <w:rPr>
          <w:rFonts w:ascii="Arial" w:eastAsia="Arial" w:hAnsi="Arial" w:cs="Arial"/>
          <w:sz w:val="24"/>
          <w:szCs w:val="24"/>
        </w:rPr>
        <w:t xml:space="preserve"> deben llamar la atención por la gravedad con que se pueden presentar. </w:t>
      </w:r>
      <w:r>
        <w:rPr>
          <w:rFonts w:ascii="Arial" w:eastAsia="Arial" w:hAnsi="Arial" w:cs="Arial"/>
          <w:sz w:val="24"/>
          <w:szCs w:val="24"/>
        </w:rPr>
        <w:lastRenderedPageBreak/>
        <w:t>Estas complicaciones, sumado a factores de riesgo como tabaquismo, alcoholismo, obesidad entre otros, junto al reposo prolongado producto de la hospitalización, pueden llevar al desarro</w:t>
      </w:r>
      <w:r>
        <w:rPr>
          <w:rFonts w:ascii="Arial" w:eastAsia="Arial" w:hAnsi="Arial" w:cs="Arial"/>
          <w:sz w:val="24"/>
          <w:szCs w:val="24"/>
        </w:rPr>
        <w:t>llo de patologías limitantes como fibrosis pulmonar. Esta alteración ocurre principalmente por una reparación anormal luego de una lesión pulmonar provocada por distintos mecanismos, en este caso, la infección viral por SARS-Cov-2 o por el proceso inflamat</w:t>
      </w:r>
      <w:r>
        <w:rPr>
          <w:rFonts w:ascii="Arial" w:eastAsia="Arial" w:hAnsi="Arial" w:cs="Arial"/>
          <w:sz w:val="24"/>
          <w:szCs w:val="24"/>
        </w:rPr>
        <w:t>orio producto del mismo contagio. El daño en la membrana basal a consecuencia de la lesión determina que la reparación de ésta se produzca por tejido fibroblástico y cicatrizal, lo que se traduce en una disminución de la distensibilidad pulmonar y la conse</w:t>
      </w:r>
      <w:r>
        <w:rPr>
          <w:rFonts w:ascii="Arial" w:eastAsia="Arial" w:hAnsi="Arial" w:cs="Arial"/>
          <w:sz w:val="24"/>
          <w:szCs w:val="24"/>
        </w:rPr>
        <w:t>cuente reducción de la capacidad pulmonar (9).</w:t>
      </w:r>
    </w:p>
    <w:p w:rsidR="009F0D1D" w:rsidRDefault="007A6F12">
      <w:pPr>
        <w:spacing w:after="0" w:line="360" w:lineRule="auto"/>
        <w:ind w:left="720"/>
        <w:jc w:val="both"/>
        <w:rPr>
          <w:rFonts w:ascii="Arial" w:eastAsia="Arial" w:hAnsi="Arial" w:cs="Arial"/>
          <w:sz w:val="24"/>
          <w:szCs w:val="24"/>
        </w:rPr>
      </w:pPr>
      <w:r>
        <w:rPr>
          <w:rFonts w:ascii="Arial" w:eastAsia="Arial" w:hAnsi="Arial" w:cs="Arial"/>
          <w:sz w:val="24"/>
          <w:szCs w:val="24"/>
        </w:rPr>
        <w:t>La bronquiectasia es otra patología que se repite a la hora de hablar de complicaciones respiratorias post COVID-19, ya sea inducida por la misma enfermedad o por una infección bacteriana superpuesta. Cuando s</w:t>
      </w:r>
      <w:r>
        <w:rPr>
          <w:rFonts w:ascii="Arial" w:eastAsia="Arial" w:hAnsi="Arial" w:cs="Arial"/>
          <w:sz w:val="24"/>
          <w:szCs w:val="24"/>
        </w:rPr>
        <w:t>e produce una inflamación de las vías respiratorias a consecuencia de un proceso infeccioso, los neutrófilos liberan mediadores inflamatorios que afectan a distintas estructuras de las vías aéreas como la elastina, el cartílago y el músculo. Todo esto gene</w:t>
      </w:r>
      <w:r>
        <w:rPr>
          <w:rFonts w:ascii="Arial" w:eastAsia="Arial" w:hAnsi="Arial" w:cs="Arial"/>
          <w:sz w:val="24"/>
          <w:szCs w:val="24"/>
        </w:rPr>
        <w:t>ra una broncodilatación permanente que junto a la inflamación de la pared mucosa daña a las células ciliadas del epitelio provocando que las secreciones se acumulen en esa zona (10).</w:t>
      </w:r>
    </w:p>
    <w:p w:rsidR="009F0D1D" w:rsidRDefault="009F0D1D">
      <w:pPr>
        <w:spacing w:after="0" w:line="360" w:lineRule="auto"/>
        <w:ind w:left="720"/>
        <w:jc w:val="both"/>
        <w:rPr>
          <w:rFonts w:ascii="Arial" w:eastAsia="Arial" w:hAnsi="Arial" w:cs="Arial"/>
          <w:sz w:val="24"/>
          <w:szCs w:val="24"/>
        </w:rPr>
      </w:pPr>
    </w:p>
    <w:p w:rsidR="009F0D1D" w:rsidRDefault="007A6F12">
      <w:pPr>
        <w:spacing w:before="240" w:after="240" w:line="360" w:lineRule="auto"/>
        <w:ind w:right="100"/>
        <w:jc w:val="both"/>
        <w:rPr>
          <w:rFonts w:ascii="Arial" w:eastAsia="Arial" w:hAnsi="Arial" w:cs="Arial"/>
          <w:sz w:val="24"/>
          <w:szCs w:val="24"/>
          <w:highlight w:val="white"/>
        </w:rPr>
      </w:pPr>
      <w:bookmarkStart w:id="0" w:name="_heading=h.gjdgxs" w:colFirst="0" w:colLast="0"/>
      <w:bookmarkEnd w:id="0"/>
      <w:r>
        <w:rPr>
          <w:rFonts w:ascii="Arial" w:eastAsia="Arial" w:hAnsi="Arial" w:cs="Arial"/>
          <w:sz w:val="24"/>
          <w:szCs w:val="24"/>
          <w:highlight w:val="white"/>
        </w:rPr>
        <w:t xml:space="preserve">Es </w:t>
      </w:r>
      <w:r>
        <w:rPr>
          <w:rFonts w:ascii="Arial" w:eastAsia="Arial" w:hAnsi="Arial" w:cs="Arial"/>
          <w:sz w:val="24"/>
          <w:szCs w:val="24"/>
        </w:rPr>
        <w:t>importante destacar que, además de las consecuencias sistémicas y fun</w:t>
      </w:r>
      <w:r>
        <w:rPr>
          <w:rFonts w:ascii="Arial" w:eastAsia="Arial" w:hAnsi="Arial" w:cs="Arial"/>
          <w:sz w:val="24"/>
          <w:szCs w:val="24"/>
        </w:rPr>
        <w:t xml:space="preserve">cionales que ocurren en los organismos de las personas contagiadas, existe un aspecto que no se visibiliza mucho, pero no por ello menos importante: </w:t>
      </w:r>
      <w:r>
        <w:rPr>
          <w:rFonts w:ascii="Arial" w:eastAsia="Arial" w:hAnsi="Arial" w:cs="Arial"/>
          <w:sz w:val="24"/>
          <w:szCs w:val="24"/>
          <w:highlight w:val="white"/>
        </w:rPr>
        <w:t>la salud mental de las personas afectadas. Recordemos que el Covid-19 mantiene aislados a los pacientes por</w:t>
      </w:r>
      <w:r>
        <w:rPr>
          <w:rFonts w:ascii="Arial" w:eastAsia="Arial" w:hAnsi="Arial" w:cs="Arial"/>
          <w:sz w:val="24"/>
          <w:szCs w:val="24"/>
          <w:highlight w:val="white"/>
        </w:rPr>
        <w:t xml:space="preserve"> días o semanas, extensión que depende del compromiso provocado por el proceso infeccioso.</w:t>
      </w:r>
    </w:p>
    <w:p w:rsidR="009F0D1D" w:rsidRDefault="007A6F12">
      <w:pPr>
        <w:spacing w:before="240" w:after="240" w:line="360" w:lineRule="auto"/>
        <w:ind w:right="100"/>
        <w:jc w:val="both"/>
        <w:rPr>
          <w:rFonts w:ascii="Arial" w:eastAsia="Arial" w:hAnsi="Arial" w:cs="Arial"/>
          <w:sz w:val="24"/>
          <w:szCs w:val="24"/>
          <w:highlight w:val="white"/>
        </w:rPr>
      </w:pPr>
      <w:bookmarkStart w:id="1" w:name="_heading=h.30j0zll" w:colFirst="0" w:colLast="0"/>
      <w:bookmarkEnd w:id="1"/>
      <w:r>
        <w:rPr>
          <w:rFonts w:ascii="Arial" w:eastAsia="Arial" w:hAnsi="Arial" w:cs="Arial"/>
          <w:sz w:val="24"/>
          <w:szCs w:val="24"/>
          <w:highlight w:val="white"/>
        </w:rPr>
        <w:t>Esta situación ocasiona la pérdida de la rutina cotidiana incluyendo el trabajo, las actividades sociales, los hobbies, etc., lo que puede derivar en importantes com</w:t>
      </w:r>
      <w:r>
        <w:rPr>
          <w:rFonts w:ascii="Arial" w:eastAsia="Arial" w:hAnsi="Arial" w:cs="Arial"/>
          <w:sz w:val="24"/>
          <w:szCs w:val="24"/>
          <w:highlight w:val="white"/>
        </w:rPr>
        <w:t xml:space="preserve">plicaciones mentales como la psicosis (11). </w:t>
      </w:r>
    </w:p>
    <w:p w:rsidR="009F0D1D" w:rsidRDefault="007A6F12">
      <w:pPr>
        <w:spacing w:before="240" w:after="240" w:line="360" w:lineRule="auto"/>
        <w:ind w:right="100"/>
        <w:jc w:val="both"/>
        <w:rPr>
          <w:rFonts w:ascii="Arial" w:eastAsia="Arial" w:hAnsi="Arial" w:cs="Arial"/>
          <w:sz w:val="24"/>
          <w:szCs w:val="24"/>
        </w:rPr>
      </w:pPr>
      <w:bookmarkStart w:id="2" w:name="_heading=h.1fob9te" w:colFirst="0" w:colLast="0"/>
      <w:bookmarkEnd w:id="2"/>
      <w:r>
        <w:rPr>
          <w:rFonts w:ascii="Arial" w:eastAsia="Arial" w:hAnsi="Arial" w:cs="Arial"/>
          <w:sz w:val="24"/>
          <w:szCs w:val="24"/>
          <w:highlight w:val="white"/>
        </w:rPr>
        <w:lastRenderedPageBreak/>
        <w:t>Por este motivo, se requiere incorporar el manejo psicológico a la serie de intervenciones funcionales a realizar en las personas afectadas de COVID 19.</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Existe una relación negativa entre la infección por SARS C</w:t>
      </w:r>
      <w:r>
        <w:rPr>
          <w:rFonts w:ascii="Arial" w:eastAsia="Arial" w:hAnsi="Arial" w:cs="Arial"/>
          <w:sz w:val="24"/>
          <w:szCs w:val="24"/>
        </w:rPr>
        <w:t xml:space="preserve">OV-2 y las personas que presentan una comorbilidad de base como hipertensión arterial (HTA), diabetes mellitus, obesidad, enfermedades cardiacas, asma bronquial, entre otras, debido a que se encuentran más propensas a pasar por un cuadro clínico de estado </w:t>
      </w:r>
      <w:r>
        <w:rPr>
          <w:rFonts w:ascii="Arial" w:eastAsia="Arial" w:hAnsi="Arial" w:cs="Arial"/>
          <w:sz w:val="24"/>
          <w:szCs w:val="24"/>
        </w:rPr>
        <w:t>crítico, llegando incluso a la muerte. En diferentes estudios se aprecia que el hecho de presentar una comorbilidad de base aumenta el doble o el triple el riesgo de padecer de forma severa las complicaciones de este virus, según sea el factor de riesgo co</w:t>
      </w:r>
      <w:r>
        <w:rPr>
          <w:rFonts w:ascii="Arial" w:eastAsia="Arial" w:hAnsi="Arial" w:cs="Arial"/>
          <w:sz w:val="24"/>
          <w:szCs w:val="24"/>
        </w:rPr>
        <w:t>rrespondiente (12). Las patologías de base más frecuente fueron la hipertensión arterial, obesidad y diabetes mellitus, además es importante señalar que las patologías mencionadas anteriormente aumentan el factor de riesgo para padecer accidentes cerebrova</w:t>
      </w:r>
      <w:r>
        <w:rPr>
          <w:rFonts w:ascii="Arial" w:eastAsia="Arial" w:hAnsi="Arial" w:cs="Arial"/>
          <w:sz w:val="24"/>
          <w:szCs w:val="24"/>
        </w:rPr>
        <w:t xml:space="preserve">sculares (ACV), enfermedades coronarias, infarto agudo al miocardio (IAM), entre otras. </w:t>
      </w:r>
    </w:p>
    <w:p w:rsidR="009F0D1D" w:rsidRDefault="009F0D1D">
      <w:pPr>
        <w:spacing w:after="0" w:line="360" w:lineRule="auto"/>
        <w:jc w:val="both"/>
        <w:rPr>
          <w:rFonts w:ascii="Arial" w:eastAsia="Arial" w:hAnsi="Arial" w:cs="Arial"/>
          <w:sz w:val="24"/>
          <w:szCs w:val="24"/>
        </w:rPr>
      </w:pPr>
    </w:p>
    <w:p w:rsidR="009F0D1D" w:rsidRDefault="007A6F12">
      <w:pPr>
        <w:numPr>
          <w:ilvl w:val="0"/>
          <w:numId w:val="7"/>
        </w:numPr>
        <w:spacing w:after="0" w:line="360" w:lineRule="auto"/>
        <w:jc w:val="both"/>
        <w:rPr>
          <w:rFonts w:ascii="Arial" w:eastAsia="Arial" w:hAnsi="Arial" w:cs="Arial"/>
          <w:sz w:val="24"/>
          <w:szCs w:val="24"/>
        </w:rPr>
      </w:pPr>
      <w:r>
        <w:rPr>
          <w:rFonts w:ascii="Arial" w:eastAsia="Arial" w:hAnsi="Arial" w:cs="Arial"/>
          <w:sz w:val="24"/>
          <w:szCs w:val="24"/>
        </w:rPr>
        <w:t>La hipertensión arterial (HTA), tal como su nombre lo indica, es una presión arterial sobre los rangos establecidos como normales, entendiendo presión arterial como l</w:t>
      </w:r>
      <w:r>
        <w:rPr>
          <w:rFonts w:ascii="Arial" w:eastAsia="Arial" w:hAnsi="Arial" w:cs="Arial"/>
          <w:sz w:val="24"/>
          <w:szCs w:val="24"/>
        </w:rPr>
        <w:t xml:space="preserve">a fuerza que ejerce la sangre sobre las paredes arteriales (13). </w:t>
      </w:r>
    </w:p>
    <w:p w:rsidR="009F0D1D" w:rsidRDefault="007A6F12">
      <w:pPr>
        <w:spacing w:after="0" w:line="360" w:lineRule="auto"/>
        <w:ind w:left="720"/>
        <w:jc w:val="both"/>
        <w:rPr>
          <w:rFonts w:ascii="Arial" w:eastAsia="Arial" w:hAnsi="Arial" w:cs="Arial"/>
          <w:sz w:val="24"/>
          <w:szCs w:val="24"/>
        </w:rPr>
      </w:pPr>
      <w:r>
        <w:rPr>
          <w:rFonts w:ascii="Arial" w:eastAsia="Arial" w:hAnsi="Arial" w:cs="Arial"/>
          <w:sz w:val="24"/>
          <w:szCs w:val="24"/>
        </w:rPr>
        <w:t>Dentro de las complicaciones de esta patología, la de mayor importancia pasa a ser el compromiso del sistema cardiovascular debido a los altos niveles de presión arterial las arterias, por l</w:t>
      </w:r>
      <w:r>
        <w:rPr>
          <w:rFonts w:ascii="Arial" w:eastAsia="Arial" w:hAnsi="Arial" w:cs="Arial"/>
          <w:sz w:val="24"/>
          <w:szCs w:val="24"/>
        </w:rPr>
        <w:t xml:space="preserve">o que éstas se engrosan y endurecen disminuyendo así el calibre de dichas arterias provocando una disminución de la cantidad de sangre y oxígeno que llega al corazón. </w:t>
      </w:r>
    </w:p>
    <w:p w:rsidR="009F0D1D" w:rsidRDefault="009F0D1D">
      <w:pPr>
        <w:spacing w:after="0" w:line="360" w:lineRule="auto"/>
        <w:ind w:left="720"/>
        <w:jc w:val="both"/>
        <w:rPr>
          <w:rFonts w:ascii="Arial" w:eastAsia="Arial" w:hAnsi="Arial" w:cs="Arial"/>
          <w:sz w:val="24"/>
          <w:szCs w:val="24"/>
        </w:rPr>
      </w:pPr>
    </w:p>
    <w:p w:rsidR="009F0D1D" w:rsidRDefault="009F0D1D">
      <w:pPr>
        <w:spacing w:after="0" w:line="360" w:lineRule="auto"/>
        <w:ind w:left="720"/>
        <w:jc w:val="both"/>
        <w:rPr>
          <w:rFonts w:ascii="Arial" w:eastAsia="Arial" w:hAnsi="Arial" w:cs="Arial"/>
          <w:sz w:val="24"/>
          <w:szCs w:val="24"/>
        </w:rPr>
      </w:pPr>
    </w:p>
    <w:p w:rsidR="009F0D1D" w:rsidRDefault="009F0D1D">
      <w:pPr>
        <w:spacing w:after="0" w:line="360" w:lineRule="auto"/>
        <w:ind w:left="720"/>
        <w:jc w:val="both"/>
        <w:rPr>
          <w:rFonts w:ascii="Arial" w:eastAsia="Arial" w:hAnsi="Arial" w:cs="Arial"/>
          <w:sz w:val="24"/>
          <w:szCs w:val="24"/>
        </w:rPr>
      </w:pPr>
    </w:p>
    <w:p w:rsidR="009F0D1D" w:rsidRDefault="009F0D1D">
      <w:pPr>
        <w:spacing w:after="0" w:line="360" w:lineRule="auto"/>
        <w:ind w:left="720"/>
        <w:jc w:val="both"/>
        <w:rPr>
          <w:rFonts w:ascii="Arial" w:eastAsia="Arial" w:hAnsi="Arial" w:cs="Arial"/>
          <w:sz w:val="24"/>
          <w:szCs w:val="24"/>
        </w:rPr>
      </w:pPr>
    </w:p>
    <w:p w:rsidR="009F0D1D" w:rsidRDefault="007A6F12">
      <w:pPr>
        <w:numPr>
          <w:ilvl w:val="0"/>
          <w:numId w:val="6"/>
        </w:numPr>
        <w:spacing w:after="0" w:line="360" w:lineRule="auto"/>
        <w:jc w:val="both"/>
        <w:rPr>
          <w:rFonts w:ascii="Arial" w:eastAsia="Arial" w:hAnsi="Arial" w:cs="Arial"/>
          <w:sz w:val="24"/>
          <w:szCs w:val="24"/>
        </w:rPr>
      </w:pPr>
      <w:r>
        <w:rPr>
          <w:rFonts w:ascii="Arial" w:eastAsia="Arial" w:hAnsi="Arial" w:cs="Arial"/>
          <w:sz w:val="24"/>
          <w:szCs w:val="24"/>
        </w:rPr>
        <w:t>Respecto a la diabetes mellitus es una enfermedad de tipo crónica en dónde el organi</w:t>
      </w:r>
      <w:r>
        <w:rPr>
          <w:rFonts w:ascii="Arial" w:eastAsia="Arial" w:hAnsi="Arial" w:cs="Arial"/>
          <w:sz w:val="24"/>
          <w:szCs w:val="24"/>
        </w:rPr>
        <w:t xml:space="preserve">smo es incapaz de producir o sintetizar dicha hormona. Es considerada un factor de riesgo para gran parte de patologías cardiovasculares, renales, oculares, etc. </w:t>
      </w:r>
    </w:p>
    <w:p w:rsidR="009F0D1D" w:rsidRDefault="009F0D1D">
      <w:pPr>
        <w:spacing w:after="0" w:line="360" w:lineRule="auto"/>
        <w:ind w:left="720"/>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Sumado a esto, existe una estrecha relación de la edad de los pacientes afectados y poseer una de estas condiciones crónicas, puesto que la mayor tasa de mortalidad se refleja en mayores de 60 años en países como Italia, China y Estados Unidos.</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Por otro la</w:t>
      </w:r>
      <w:r>
        <w:rPr>
          <w:rFonts w:ascii="Arial" w:eastAsia="Arial" w:hAnsi="Arial" w:cs="Arial"/>
          <w:sz w:val="24"/>
          <w:szCs w:val="24"/>
        </w:rPr>
        <w:t>do, un estudio realizado en Nueva York, reveló que pacientes menores de 60 años con un IMC (Índice de Masa Corporal) elevado, son más propensos a requerir cuidados intensivos por Covid-19 (14).</w:t>
      </w:r>
    </w:p>
    <w:p w:rsidR="009F0D1D" w:rsidRDefault="007A6F12">
      <w:pPr>
        <w:spacing w:after="0" w:line="360" w:lineRule="auto"/>
        <w:jc w:val="both"/>
        <w:rPr>
          <w:rFonts w:ascii="Arial" w:eastAsia="Arial" w:hAnsi="Arial" w:cs="Arial"/>
          <w:sz w:val="24"/>
          <w:szCs w:val="24"/>
        </w:rPr>
      </w:pPr>
      <w:bookmarkStart w:id="3" w:name="_heading=h.3znysh7" w:colFirst="0" w:colLast="0"/>
      <w:bookmarkEnd w:id="3"/>
      <w:r>
        <w:rPr>
          <w:rFonts w:ascii="Arial" w:eastAsia="Arial" w:hAnsi="Arial" w:cs="Arial"/>
          <w:sz w:val="24"/>
          <w:szCs w:val="24"/>
        </w:rPr>
        <w:t>Al ser el SARS-CoV-2 una enfermedad en desarrollo, las complic</w:t>
      </w:r>
      <w:r>
        <w:rPr>
          <w:rFonts w:ascii="Arial" w:eastAsia="Arial" w:hAnsi="Arial" w:cs="Arial"/>
          <w:sz w:val="24"/>
          <w:szCs w:val="24"/>
        </w:rPr>
        <w:t xml:space="preserve">aciones clínicas asociadas a factores de riesgo son un tema del cual falta por comprender pese al esfuerzo de los científicos desde el inicio de la pandemia (15). </w:t>
      </w:r>
    </w:p>
    <w:p w:rsidR="009F0D1D" w:rsidRDefault="009F0D1D">
      <w:pPr>
        <w:spacing w:after="0"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b/>
          <w:sz w:val="24"/>
          <w:szCs w:val="24"/>
        </w:rPr>
      </w:pPr>
      <w:r>
        <w:rPr>
          <w:rFonts w:ascii="Arial" w:eastAsia="Arial" w:hAnsi="Arial" w:cs="Arial"/>
          <w:sz w:val="24"/>
          <w:szCs w:val="24"/>
        </w:rPr>
        <w:t>En el contexto del COVID-19, la rehabilitación pasa a ser un desafío debido a que es una en</w:t>
      </w:r>
      <w:r>
        <w:rPr>
          <w:rFonts w:ascii="Arial" w:eastAsia="Arial" w:hAnsi="Arial" w:cs="Arial"/>
          <w:sz w:val="24"/>
          <w:szCs w:val="24"/>
        </w:rPr>
        <w:t xml:space="preserve">fermedad reciente en el mundo y no se tienen mayores estudios o programas de rehabilitación que aseguren una recuperación completa de las personas afectadas. En distintos países han ido creando una serie de protocolos o pautas que buscan contrarrestar las </w:t>
      </w:r>
      <w:r>
        <w:rPr>
          <w:rFonts w:ascii="Arial" w:eastAsia="Arial" w:hAnsi="Arial" w:cs="Arial"/>
          <w:sz w:val="24"/>
          <w:szCs w:val="24"/>
        </w:rPr>
        <w:t>secuelas que este virus ha desencadenado en personas contagiadas, sin llegar a establecer cuáles son las metodologías y actividades necesarias para lograr los resultados esperados (16).</w:t>
      </w:r>
      <w:r>
        <w:br w:type="page"/>
      </w: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lastRenderedPageBreak/>
        <w:t xml:space="preserve">CAPÍTULO II: </w:t>
      </w: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REVISIÓN DE LA LITERATURA.</w:t>
      </w:r>
    </w:p>
    <w:p w:rsidR="009F0D1D" w:rsidRDefault="007A6F12">
      <w:pPr>
        <w:spacing w:after="0" w:line="360" w:lineRule="auto"/>
        <w:jc w:val="both"/>
        <w:rPr>
          <w:rFonts w:ascii="Arial" w:eastAsia="Arial" w:hAnsi="Arial" w:cs="Arial"/>
          <w:b/>
          <w:sz w:val="24"/>
          <w:szCs w:val="24"/>
        </w:rPr>
      </w:pPr>
      <w:r>
        <w:rPr>
          <w:rFonts w:ascii="Arial" w:eastAsia="Arial" w:hAnsi="Arial" w:cs="Arial"/>
          <w:sz w:val="24"/>
          <w:szCs w:val="24"/>
        </w:rPr>
        <w:t>Para realizar este estudio q</w:t>
      </w:r>
      <w:r>
        <w:rPr>
          <w:rFonts w:ascii="Arial" w:eastAsia="Arial" w:hAnsi="Arial" w:cs="Arial"/>
          <w:sz w:val="24"/>
          <w:szCs w:val="24"/>
        </w:rPr>
        <w:t>ue fue resumiendo distintas revisiones sistemáticas, protocolos y revistas se hicieron búsquedas en bases de datos como PubMed  y LILACS, utilizando palabras claves como “Covid 19”, “Rehabilitation” “Protocol”, se obtuvieron 90 articulos que cumplian con l</w:t>
      </w:r>
      <w:r>
        <w:rPr>
          <w:rFonts w:ascii="Arial" w:eastAsia="Arial" w:hAnsi="Arial" w:cs="Arial"/>
          <w:sz w:val="24"/>
          <w:szCs w:val="24"/>
        </w:rPr>
        <w:t>os requisitos de busqueda. La mayoría de estos artículos entregaban información más centrada en la fisiopatología del virus, o se enfocan en ejercicios terapéuticos válidos en otras patologías, pero que aún no eran probados en Covid 19. Sumado a esto, la m</w:t>
      </w:r>
      <w:r>
        <w:rPr>
          <w:rFonts w:ascii="Arial" w:eastAsia="Arial" w:hAnsi="Arial" w:cs="Arial"/>
          <w:sz w:val="24"/>
          <w:szCs w:val="24"/>
        </w:rPr>
        <w:t>ayoría de rehabilitación se enfoca en el sistema musculoesquelético, y la evidencia en cuanto al área cardiorrespiratoria era escasa y se encontraba en  constante actualización. La importancia de abarcar otras áreas como la nutricional y psicológica es otr</w:t>
      </w:r>
      <w:r>
        <w:rPr>
          <w:rFonts w:ascii="Arial" w:eastAsia="Arial" w:hAnsi="Arial" w:cs="Arial"/>
          <w:sz w:val="24"/>
          <w:szCs w:val="24"/>
        </w:rPr>
        <w:t xml:space="preserve">a cosa que no se ve plasmada en la evidencia, ya que muy pocos artículos mencionan la importancia de la rehabilitación en estas áreas. El tema del idioma era una barrera importante, ya que gran parte de la evidencia era de origen Chino, debido a que es el </w:t>
      </w:r>
      <w:r>
        <w:rPr>
          <w:rFonts w:ascii="Arial" w:eastAsia="Arial" w:hAnsi="Arial" w:cs="Arial"/>
          <w:sz w:val="24"/>
          <w:szCs w:val="24"/>
        </w:rPr>
        <w:t>país más especializado y que ha vivido de más cerca la enfermedad. Es por esto que nuestro estudio tiene como finalidad reunir toda la información posible para poder resumirla, plasmarla y destacar la evidencia de terapias que incluyan una rehabilitación c</w:t>
      </w:r>
      <w:r>
        <w:rPr>
          <w:rFonts w:ascii="Arial" w:eastAsia="Arial" w:hAnsi="Arial" w:cs="Arial"/>
          <w:sz w:val="24"/>
          <w:szCs w:val="24"/>
        </w:rPr>
        <w:t>ompleta para el bienestar del usuario.</w:t>
      </w:r>
    </w:p>
    <w:p w:rsidR="009F0D1D" w:rsidRDefault="009F0D1D">
      <w:pPr>
        <w:spacing w:after="0" w:line="360" w:lineRule="auto"/>
        <w:jc w:val="both"/>
        <w:rPr>
          <w:rFonts w:ascii="Arial" w:eastAsia="Arial" w:hAnsi="Arial" w:cs="Arial"/>
          <w:sz w:val="24"/>
          <w:szCs w:val="24"/>
          <w:highlight w:val="yellow"/>
        </w:rPr>
      </w:pP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 xml:space="preserve">CAPÍTULO III: </w:t>
      </w: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PREGUNTA DE INVESTIGACIÓN Y JUSTIFICACIÓN.</w:t>
      </w:r>
    </w:p>
    <w:p w:rsidR="009F0D1D" w:rsidRDefault="009F0D1D">
      <w:pPr>
        <w:spacing w:after="0" w:line="360" w:lineRule="auto"/>
        <w:ind w:left="720"/>
        <w:jc w:val="both"/>
        <w:rPr>
          <w:rFonts w:ascii="Arial" w:eastAsia="Arial" w:hAnsi="Arial" w:cs="Arial"/>
          <w:sz w:val="24"/>
          <w:szCs w:val="24"/>
        </w:rPr>
      </w:pPr>
    </w:p>
    <w:p w:rsidR="009F0D1D" w:rsidRDefault="007A6F12">
      <w:pPr>
        <w:numPr>
          <w:ilvl w:val="1"/>
          <w:numId w:val="8"/>
        </w:numPr>
        <w:pBdr>
          <w:top w:val="nil"/>
          <w:left w:val="nil"/>
          <w:bottom w:val="nil"/>
          <w:right w:val="nil"/>
          <w:between w:val="nil"/>
        </w:pBdr>
        <w:spacing w:after="0" w:line="360" w:lineRule="auto"/>
        <w:jc w:val="both"/>
        <w:rPr>
          <w:b/>
          <w:color w:val="000000"/>
          <w:sz w:val="24"/>
          <w:szCs w:val="24"/>
        </w:rPr>
      </w:pPr>
      <w:r>
        <w:rPr>
          <w:rFonts w:ascii="Arial" w:eastAsia="Arial" w:hAnsi="Arial" w:cs="Arial"/>
          <w:b/>
          <w:color w:val="000000"/>
          <w:sz w:val="24"/>
          <w:szCs w:val="24"/>
        </w:rPr>
        <w:t>Pregunta de Investigación</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¿Qué aspectos se deben considerar en la aplicación de un protocolo de rehabilitación kinésica multisistémico para pacientes post covid-19?</w:t>
      </w:r>
    </w:p>
    <w:p w:rsidR="009F0D1D" w:rsidRDefault="009F0D1D">
      <w:pPr>
        <w:spacing w:after="0" w:line="360" w:lineRule="auto"/>
        <w:jc w:val="both"/>
        <w:rPr>
          <w:rFonts w:ascii="Arial" w:eastAsia="Arial" w:hAnsi="Arial" w:cs="Arial"/>
          <w:sz w:val="24"/>
          <w:szCs w:val="24"/>
        </w:rPr>
      </w:pPr>
    </w:p>
    <w:p w:rsidR="009F0D1D" w:rsidRDefault="007A6F12">
      <w:pPr>
        <w:numPr>
          <w:ilvl w:val="1"/>
          <w:numId w:val="8"/>
        </w:numPr>
        <w:pBdr>
          <w:top w:val="nil"/>
          <w:left w:val="nil"/>
          <w:bottom w:val="nil"/>
          <w:right w:val="nil"/>
          <w:between w:val="nil"/>
        </w:pBdr>
        <w:spacing w:after="0" w:line="360" w:lineRule="auto"/>
        <w:jc w:val="both"/>
        <w:rPr>
          <w:color w:val="000000"/>
          <w:sz w:val="24"/>
          <w:szCs w:val="24"/>
        </w:rPr>
      </w:pPr>
      <w:r>
        <w:rPr>
          <w:rFonts w:ascii="Arial" w:eastAsia="Arial" w:hAnsi="Arial" w:cs="Arial"/>
          <w:color w:val="000000"/>
          <w:sz w:val="24"/>
          <w:szCs w:val="24"/>
        </w:rPr>
        <w:t xml:space="preserve"> </w:t>
      </w:r>
      <w:r>
        <w:rPr>
          <w:rFonts w:ascii="Arial" w:eastAsia="Arial" w:hAnsi="Arial" w:cs="Arial"/>
          <w:b/>
          <w:color w:val="000000"/>
          <w:sz w:val="24"/>
          <w:szCs w:val="24"/>
        </w:rPr>
        <w:t>Objetivo General</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Sintetizar distintos protocolos de rehabilitación sobre COVID 19 que cubran las deficiencias fisio</w:t>
      </w:r>
      <w:r>
        <w:rPr>
          <w:rFonts w:ascii="Arial" w:eastAsia="Arial" w:hAnsi="Arial" w:cs="Arial"/>
          <w:sz w:val="24"/>
          <w:szCs w:val="24"/>
        </w:rPr>
        <w:t>lógicas causadas por el SARS-COV 2.</w:t>
      </w: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7A6F12">
      <w:pPr>
        <w:numPr>
          <w:ilvl w:val="1"/>
          <w:numId w:val="8"/>
        </w:numPr>
        <w:pBdr>
          <w:top w:val="nil"/>
          <w:left w:val="nil"/>
          <w:bottom w:val="nil"/>
          <w:right w:val="nil"/>
          <w:between w:val="nil"/>
        </w:pBdr>
        <w:spacing w:after="0" w:line="360" w:lineRule="auto"/>
        <w:jc w:val="both"/>
        <w:rPr>
          <w:b/>
          <w:color w:val="000000"/>
          <w:sz w:val="24"/>
          <w:szCs w:val="24"/>
        </w:rPr>
      </w:pPr>
      <w:r>
        <w:rPr>
          <w:rFonts w:ascii="Arial" w:eastAsia="Arial" w:hAnsi="Arial" w:cs="Arial"/>
          <w:b/>
          <w:color w:val="000000"/>
          <w:sz w:val="24"/>
          <w:szCs w:val="24"/>
        </w:rPr>
        <w:lastRenderedPageBreak/>
        <w:t>Objetivos Específicos</w:t>
      </w:r>
    </w:p>
    <w:p w:rsidR="009F0D1D" w:rsidRDefault="007A6F12">
      <w:pPr>
        <w:numPr>
          <w:ilvl w:val="2"/>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Establecer aspectos en común que se deben considerar para un protocolo final</w:t>
      </w:r>
    </w:p>
    <w:p w:rsidR="009F0D1D" w:rsidRDefault="007A6F12">
      <w:pPr>
        <w:numPr>
          <w:ilvl w:val="2"/>
          <w:numId w:val="8"/>
        </w:numPr>
        <w:pBdr>
          <w:top w:val="nil"/>
          <w:left w:val="nil"/>
          <w:bottom w:val="nil"/>
          <w:right w:val="nil"/>
          <w:between w:val="nil"/>
        </w:pBdr>
        <w:spacing w:after="0" w:line="360" w:lineRule="auto"/>
        <w:jc w:val="both"/>
        <w:rPr>
          <w:rFonts w:ascii="Arial" w:eastAsia="Arial" w:hAnsi="Arial" w:cs="Arial"/>
          <w:color w:val="000000"/>
          <w:sz w:val="24"/>
          <w:szCs w:val="24"/>
        </w:rPr>
      </w:pPr>
      <w:r>
        <w:rPr>
          <w:rFonts w:ascii="Arial" w:eastAsia="Arial" w:hAnsi="Arial" w:cs="Arial"/>
          <w:color w:val="000000"/>
          <w:sz w:val="24"/>
          <w:szCs w:val="24"/>
        </w:rPr>
        <w:t>Identificar aspectos infrecuentemente considerados dentro de los protocolos analizados</w:t>
      </w:r>
    </w:p>
    <w:p w:rsidR="009F0D1D" w:rsidRDefault="009F0D1D">
      <w:pPr>
        <w:spacing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sz w:val="24"/>
          <w:szCs w:val="24"/>
        </w:rPr>
      </w:pPr>
      <w:r>
        <w:rPr>
          <w:rFonts w:ascii="Arial" w:eastAsia="Arial" w:hAnsi="Arial" w:cs="Arial"/>
          <w:b/>
          <w:sz w:val="24"/>
          <w:szCs w:val="24"/>
        </w:rPr>
        <w:t>CAPÍTULO IV:</w:t>
      </w:r>
      <w:r>
        <w:rPr>
          <w:rFonts w:ascii="Arial" w:eastAsia="Arial" w:hAnsi="Arial" w:cs="Arial"/>
          <w:sz w:val="24"/>
          <w:szCs w:val="24"/>
        </w:rPr>
        <w:t xml:space="preserve"> </w:t>
      </w: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DISEÑO DE INVESTIGACIÓN Y METODOLOGÍA.</w:t>
      </w:r>
    </w:p>
    <w:p w:rsidR="009F0D1D" w:rsidRDefault="009F0D1D">
      <w:pPr>
        <w:spacing w:line="360" w:lineRule="auto"/>
        <w:jc w:val="both"/>
        <w:rPr>
          <w:rFonts w:ascii="Arial" w:eastAsia="Arial" w:hAnsi="Arial" w:cs="Arial"/>
          <w:sz w:val="24"/>
          <w:szCs w:val="24"/>
        </w:rPr>
      </w:pP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 xml:space="preserve">4.1 Diseño de investigación: </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Para responder a nuestra pregunta de investigación se llevará a cabo una revisión narrativa, la cual se define como un tipo de estudio secundario que no realiza un trabajo experimental c</w:t>
      </w:r>
      <w:r>
        <w:rPr>
          <w:rFonts w:ascii="Arial" w:eastAsia="Arial" w:hAnsi="Arial" w:cs="Arial"/>
          <w:sz w:val="24"/>
          <w:szCs w:val="24"/>
        </w:rPr>
        <w:t>on personas, enfocándose principalmente en la lectura y síntesis de información  no necesitando de grandes metodologías para la investigación. Una ventaja de este tipo de estudio es que permite responder a temas amplios y generales, que abarcan una gran ca</w:t>
      </w:r>
      <w:r>
        <w:rPr>
          <w:rFonts w:ascii="Arial" w:eastAsia="Arial" w:hAnsi="Arial" w:cs="Arial"/>
          <w:sz w:val="24"/>
          <w:szCs w:val="24"/>
        </w:rPr>
        <w:t>ntidad de información y que necesita ser condensada para una mejor comprensión. Es por esto que quien lleva a cabo una revisión narrativa logra tomar aspectos y puntos importantes para sintetizar el material llegando a una conclusión(17).</w:t>
      </w:r>
    </w:p>
    <w:p w:rsidR="009F0D1D" w:rsidRDefault="009F0D1D">
      <w:pPr>
        <w:spacing w:line="360" w:lineRule="auto"/>
        <w:jc w:val="both"/>
        <w:rPr>
          <w:rFonts w:ascii="Arial" w:eastAsia="Arial" w:hAnsi="Arial" w:cs="Arial"/>
          <w:sz w:val="24"/>
          <w:szCs w:val="24"/>
        </w:rPr>
      </w:pP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4.2 Criterios de</w:t>
      </w:r>
      <w:r>
        <w:rPr>
          <w:rFonts w:ascii="Arial" w:eastAsia="Arial" w:hAnsi="Arial" w:cs="Arial"/>
          <w:sz w:val="24"/>
          <w:szCs w:val="24"/>
        </w:rPr>
        <w:t xml:space="preserve"> selección de estudios primarios:</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 xml:space="preserve">Esta revisión narrativa incluirá estudios que presenten protocolos para la rehabilitación presencial de pacientes adultos (mayores de 18 años) post-covid, en etapa post hospitalaria. Se considerarán consensos y protocolos </w:t>
      </w:r>
      <w:r>
        <w:rPr>
          <w:rFonts w:ascii="Arial" w:eastAsia="Arial" w:hAnsi="Arial" w:cs="Arial"/>
          <w:sz w:val="24"/>
          <w:szCs w:val="24"/>
        </w:rPr>
        <w:t xml:space="preserve">de rehabilitación aplicados en varios países, que incluyan la rehabilitación sistemática completa o parcial en pacientes post contagio de covid 19, especialmente si se trata de una rehabilitación fisioterapéutica y/o kinesiológica. También se considerarán </w:t>
      </w:r>
      <w:r>
        <w:rPr>
          <w:rFonts w:ascii="Arial" w:eastAsia="Arial" w:hAnsi="Arial" w:cs="Arial"/>
          <w:sz w:val="24"/>
          <w:szCs w:val="24"/>
        </w:rPr>
        <w:t>estudios que muestren la efectividad de alguna terapia, técnica o ejercicio específico que demuestre su efectividad en la mejoría tanto de síntomas y secuelas en pacientes post contagio covid.</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lastRenderedPageBreak/>
        <w:t xml:space="preserve">Se excluirán estudios de serie de casos, ya que no abarcan una gran cantidad de población y no entregan información aplicable a gran escala debido a su enfoque único sobre un paciente. </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4.3 Búsqueda electrónica:</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Se realizó una búsqueda electrónica en el me</w:t>
      </w:r>
      <w:r>
        <w:rPr>
          <w:rFonts w:ascii="Arial" w:eastAsia="Arial" w:hAnsi="Arial" w:cs="Arial"/>
          <w:sz w:val="24"/>
          <w:szCs w:val="24"/>
        </w:rPr>
        <w:t>s de agosto del 2022, en idioma inglés y en español, en las bases de datos Medline y LILACS. Se utilizaron los siguientes términos: COVID-19, rehabilitation, treatment, protocol, programs, pulmonary rehabilitation y cardiovascular rehabilitation. Las palab</w:t>
      </w:r>
      <w:r>
        <w:rPr>
          <w:rFonts w:ascii="Arial" w:eastAsia="Arial" w:hAnsi="Arial" w:cs="Arial"/>
          <w:sz w:val="24"/>
          <w:szCs w:val="24"/>
        </w:rPr>
        <w:t xml:space="preserve">ras mencionadas anteriormente, fueron enlazadas con el siguiente operador booleano: OR y AND, en inglés y en español. El detalle de la estrategia de búsqueda para cada base de datos se encuentra en el Anexo 1. </w:t>
      </w:r>
    </w:p>
    <w:p w:rsidR="009F0D1D" w:rsidRDefault="009F0D1D">
      <w:pPr>
        <w:spacing w:line="360" w:lineRule="auto"/>
        <w:jc w:val="both"/>
        <w:rPr>
          <w:rFonts w:ascii="Arial" w:eastAsia="Arial" w:hAnsi="Arial" w:cs="Arial"/>
          <w:sz w:val="24"/>
          <w:szCs w:val="24"/>
        </w:rPr>
      </w:pPr>
    </w:p>
    <w:p w:rsidR="009F0D1D" w:rsidRDefault="007A6F12">
      <w:pPr>
        <w:spacing w:line="360" w:lineRule="auto"/>
        <w:jc w:val="both"/>
        <w:rPr>
          <w:rFonts w:ascii="Arial" w:eastAsia="Arial" w:hAnsi="Arial" w:cs="Arial"/>
          <w:b/>
          <w:sz w:val="24"/>
          <w:szCs w:val="24"/>
        </w:rPr>
      </w:pPr>
      <w:r>
        <w:rPr>
          <w:rFonts w:ascii="Arial" w:eastAsia="Arial" w:hAnsi="Arial" w:cs="Arial"/>
          <w:b/>
          <w:sz w:val="24"/>
          <w:szCs w:val="24"/>
        </w:rPr>
        <w:t>CAPÍTULO V: CONSIDERACIONES ÉTICAS DE LA INV</w:t>
      </w:r>
      <w:r>
        <w:rPr>
          <w:rFonts w:ascii="Arial" w:eastAsia="Arial" w:hAnsi="Arial" w:cs="Arial"/>
          <w:b/>
          <w:sz w:val="24"/>
          <w:szCs w:val="24"/>
        </w:rPr>
        <w:t>ESTIGACIÓN</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En la presente investigación se encuentran algunos de los principios establecidos por el estudio de la ética, los cuales se orientan al resguardo de todas las personas que participan en los diversos tipos de investigación. Aunque en un tipo de i</w:t>
      </w:r>
      <w:r>
        <w:rPr>
          <w:rFonts w:ascii="Arial" w:eastAsia="Arial" w:hAnsi="Arial" w:cs="Arial"/>
          <w:sz w:val="24"/>
          <w:szCs w:val="24"/>
        </w:rPr>
        <w:t>nvestigación secundaria no hay relación experimental directa con personas, se deben cumplir otras consideraciones éticas.</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En primer lugar, la validez social o científica, ya que se debe orientar la investigación a mejorar la calidad de vida de una població</w:t>
      </w:r>
      <w:r>
        <w:rPr>
          <w:rFonts w:ascii="Arial" w:eastAsia="Arial" w:hAnsi="Arial" w:cs="Arial"/>
          <w:sz w:val="24"/>
          <w:szCs w:val="24"/>
        </w:rPr>
        <w:t>n específica, brindando el conocimiento para generar mejores oportunidades o dando solución a problemas que les afectan.</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También, está la consideración de realizar una selección equitativa con la población que estará dentro dentro del estudio, debido a que deben estar relacionados con la problemática planteada en la investigación, quienes podrían beneficiarse de un resultado</w:t>
      </w:r>
      <w:r>
        <w:rPr>
          <w:rFonts w:ascii="Arial" w:eastAsia="Arial" w:hAnsi="Arial" w:cs="Arial"/>
          <w:sz w:val="24"/>
          <w:szCs w:val="24"/>
        </w:rPr>
        <w:t xml:space="preserve"> positivo del estudio.</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Y finalmente, la validez científica porque busca generar un conocimiento que sea válido en las personas, planteando un propósito evidente y bajo la metodología correcta, todo esto bajo la necesidad social de las personas.</w:t>
      </w: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lastRenderedPageBreak/>
        <w:t>CAPÍTULO VI</w:t>
      </w:r>
      <w:r>
        <w:rPr>
          <w:rFonts w:ascii="Arial" w:eastAsia="Arial" w:hAnsi="Arial" w:cs="Arial"/>
          <w:b/>
          <w:sz w:val="24"/>
          <w:szCs w:val="24"/>
        </w:rPr>
        <w:t xml:space="preserve">: ANÁLISIS DE DATOS </w:t>
      </w:r>
    </w:p>
    <w:p w:rsidR="009F0D1D" w:rsidRDefault="009F0D1D">
      <w:pPr>
        <w:spacing w:after="0" w:line="360" w:lineRule="auto"/>
        <w:jc w:val="both"/>
        <w:rPr>
          <w:rFonts w:ascii="Arial" w:eastAsia="Arial" w:hAnsi="Arial" w:cs="Arial"/>
          <w:b/>
          <w:sz w:val="24"/>
          <w:szCs w:val="24"/>
        </w:rPr>
      </w:pP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Los 18 artículos elegidos a texto completo fueron divididos entre los 3 autores, con un total de 6 artículos para cada uno, con la intención de una lectura más rápida y optimizada en la plataforma Rayyan. La decisión de inclusión o ex</w:t>
      </w:r>
      <w:r>
        <w:rPr>
          <w:rFonts w:ascii="Arial" w:eastAsia="Arial" w:hAnsi="Arial" w:cs="Arial"/>
          <w:sz w:val="24"/>
          <w:szCs w:val="24"/>
        </w:rPr>
        <w:t xml:space="preserve">clusión de estudios fue cegada por cada autor, pero en caso de haber algún tipo de desacuerdo se realizó un consenso entre los 3 autores para tomar la decisión final del estudio en cuestión. </w:t>
      </w:r>
    </w:p>
    <w:p w:rsidR="009F0D1D" w:rsidRDefault="007A6F12">
      <w:pPr>
        <w:spacing w:line="360" w:lineRule="auto"/>
        <w:jc w:val="both"/>
        <w:rPr>
          <w:rFonts w:ascii="Arial" w:eastAsia="Arial" w:hAnsi="Arial" w:cs="Arial"/>
          <w:b/>
          <w:sz w:val="24"/>
          <w:szCs w:val="24"/>
        </w:rPr>
      </w:pPr>
      <w:r>
        <w:rPr>
          <w:rFonts w:ascii="Arial" w:eastAsia="Arial" w:hAnsi="Arial" w:cs="Arial"/>
          <w:b/>
          <w:sz w:val="24"/>
          <w:szCs w:val="24"/>
        </w:rPr>
        <w:br/>
        <w:t>CAPÍTULO VII: RESULTADOS</w:t>
      </w:r>
    </w:p>
    <w:p w:rsidR="009F0D1D" w:rsidRDefault="007A6F12">
      <w:pPr>
        <w:spacing w:line="360" w:lineRule="auto"/>
        <w:jc w:val="both"/>
        <w:rPr>
          <w:rFonts w:ascii="Arial" w:eastAsia="Arial" w:hAnsi="Arial" w:cs="Arial"/>
          <w:b/>
          <w:sz w:val="24"/>
          <w:szCs w:val="24"/>
        </w:rPr>
      </w:pPr>
      <w:r>
        <w:rPr>
          <w:rFonts w:ascii="Arial" w:eastAsia="Arial" w:hAnsi="Arial" w:cs="Arial"/>
          <w:sz w:val="24"/>
          <w:szCs w:val="24"/>
        </w:rPr>
        <w:t>De las estrategias de búsqueda realiza</w:t>
      </w:r>
      <w:r>
        <w:rPr>
          <w:rFonts w:ascii="Arial" w:eastAsia="Arial" w:hAnsi="Arial" w:cs="Arial"/>
          <w:sz w:val="24"/>
          <w:szCs w:val="24"/>
        </w:rPr>
        <w:t>das en las 2 bases de datos (Pubmed y LILACS), se identificaron 89 artículos que cumplían con los criterios de elegibilidad. Se utilizó como herramienta organizativa la herramienta tecnológica Rayyan, plataforma que permite ingresar citas de artículos, ord</w:t>
      </w:r>
      <w:r>
        <w:rPr>
          <w:rFonts w:ascii="Arial" w:eastAsia="Arial" w:hAnsi="Arial" w:cs="Arial"/>
          <w:sz w:val="24"/>
          <w:szCs w:val="24"/>
        </w:rPr>
        <w:t>enarlos y detectar duplicados, con el fin de incluir o excluirlos de una forma más rápida</w:t>
      </w:r>
      <w:r>
        <w:rPr>
          <w:rFonts w:ascii="Arial" w:eastAsia="Arial" w:hAnsi="Arial" w:cs="Arial"/>
          <w:color w:val="1A161B"/>
          <w:sz w:val="24"/>
          <w:szCs w:val="24"/>
        </w:rPr>
        <w:t>.</w:t>
      </w:r>
    </w:p>
    <w:p w:rsidR="009F0D1D" w:rsidRDefault="007A6F12">
      <w:pPr>
        <w:spacing w:after="0" w:line="360" w:lineRule="auto"/>
        <w:jc w:val="both"/>
        <w:rPr>
          <w:rFonts w:ascii="Arial" w:eastAsia="Arial" w:hAnsi="Arial" w:cs="Arial"/>
          <w:sz w:val="24"/>
          <w:szCs w:val="24"/>
        </w:rPr>
      </w:pPr>
      <w:bookmarkStart w:id="4" w:name="_heading=h.tyjcwt" w:colFirst="0" w:colLast="0"/>
      <w:bookmarkEnd w:id="4"/>
      <w:r>
        <w:rPr>
          <w:rFonts w:ascii="Arial" w:eastAsia="Arial" w:hAnsi="Arial" w:cs="Arial"/>
          <w:sz w:val="24"/>
          <w:szCs w:val="24"/>
        </w:rPr>
        <w:t xml:space="preserve">A partir de los 89 artículos iniciales se detectaron 2 duplicados, los que fueron eliminados. Dentro de todos los registros cribados se utilizaron 89 artículos y se </w:t>
      </w:r>
      <w:r>
        <w:rPr>
          <w:rFonts w:ascii="Arial" w:eastAsia="Arial" w:hAnsi="Arial" w:cs="Arial"/>
          <w:sz w:val="24"/>
          <w:szCs w:val="24"/>
        </w:rPr>
        <w:t>excluyeron 71 de ellos. El número de artículos evaluados a texto completo para su elegibilidad fue de 18, excluyéndose 3 artículos por razones de población equivocada, intervención y por no disponibilidad de uno de los artículos. Este proceso es sintetizad</w:t>
      </w:r>
      <w:r>
        <w:rPr>
          <w:rFonts w:ascii="Arial" w:eastAsia="Arial" w:hAnsi="Arial" w:cs="Arial"/>
          <w:sz w:val="24"/>
          <w:szCs w:val="24"/>
        </w:rPr>
        <w:t xml:space="preserve">o en el esquema PRISMA (Figura 1). </w:t>
      </w: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C74DC6" w:rsidRDefault="00C74DC6">
      <w:pPr>
        <w:spacing w:after="0" w:line="360" w:lineRule="auto"/>
        <w:jc w:val="both"/>
        <w:rPr>
          <w:rFonts w:ascii="Arial" w:eastAsia="Arial" w:hAnsi="Arial" w:cs="Arial"/>
          <w:sz w:val="24"/>
          <w:szCs w:val="24"/>
        </w:rPr>
      </w:pPr>
      <w:bookmarkStart w:id="5" w:name="_GoBack"/>
      <w:bookmarkEnd w:id="5"/>
    </w:p>
    <w:p w:rsidR="009F0D1D" w:rsidRDefault="007A6F12">
      <w:pPr>
        <w:spacing w:after="0"/>
        <w:rPr>
          <w:rFonts w:ascii="Arial" w:eastAsia="Arial" w:hAnsi="Arial" w:cs="Arial"/>
          <w:sz w:val="16"/>
          <w:szCs w:val="16"/>
        </w:rPr>
      </w:pPr>
      <w:r>
        <w:rPr>
          <w:rFonts w:ascii="Arial" w:eastAsia="Arial" w:hAnsi="Arial" w:cs="Arial"/>
          <w:sz w:val="24"/>
          <w:szCs w:val="24"/>
        </w:rPr>
        <w:lastRenderedPageBreak/>
        <w:t>Figura 1. Esquema PRISMA</w:t>
      </w:r>
      <w:r>
        <w:rPr>
          <w:rFonts w:ascii="Arial" w:eastAsia="Arial" w:hAnsi="Arial" w:cs="Arial"/>
          <w:sz w:val="16"/>
          <w:szCs w:val="16"/>
        </w:rPr>
        <w:t>.</w:t>
      </w:r>
    </w:p>
    <w:p w:rsidR="009F0D1D" w:rsidRDefault="009F0D1D">
      <w:pPr>
        <w:spacing w:after="0" w:line="360" w:lineRule="auto"/>
        <w:jc w:val="both"/>
        <w:rPr>
          <w:rFonts w:ascii="Arial" w:eastAsia="Arial" w:hAnsi="Arial" w:cs="Arial"/>
          <w:sz w:val="24"/>
          <w:szCs w:val="24"/>
        </w:rPr>
      </w:pPr>
    </w:p>
    <w:p w:rsidR="009F0D1D" w:rsidRDefault="007A6F12">
      <w:pPr>
        <w:spacing w:after="0"/>
        <w:rPr>
          <w:rFonts w:ascii="Arial" w:eastAsia="Arial" w:hAnsi="Arial" w:cs="Arial"/>
          <w:sz w:val="24"/>
          <w:szCs w:val="24"/>
        </w:rPr>
      </w:pPr>
      <w:r>
        <w:rPr>
          <w:rFonts w:ascii="Arial" w:eastAsia="Arial" w:hAnsi="Arial" w:cs="Arial"/>
          <w:b/>
          <w:noProof/>
          <w:sz w:val="24"/>
          <w:szCs w:val="24"/>
          <w:lang w:val="en-US"/>
        </w:rPr>
        <w:drawing>
          <wp:inline distT="114300" distB="114300" distL="114300" distR="114300">
            <wp:extent cx="5399730" cy="416560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5399730" cy="4165600"/>
                    </a:xfrm>
                    <a:prstGeom prst="rect">
                      <a:avLst/>
                    </a:prstGeom>
                    <a:ln/>
                  </pic:spPr>
                </pic:pic>
              </a:graphicData>
            </a:graphic>
          </wp:inline>
        </w:drawing>
      </w:r>
    </w:p>
    <w:p w:rsidR="009F0D1D" w:rsidRDefault="009F0D1D">
      <w:pPr>
        <w:spacing w:after="0"/>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7.1 Características de los estudios incluidos</w:t>
      </w:r>
    </w:p>
    <w:p w:rsidR="009F0D1D" w:rsidRDefault="007A6F12">
      <w:pPr>
        <w:spacing w:after="0" w:line="360" w:lineRule="auto"/>
        <w:jc w:val="both"/>
        <w:rPr>
          <w:rFonts w:ascii="Arial" w:eastAsia="Arial" w:hAnsi="Arial" w:cs="Arial"/>
          <w:sz w:val="24"/>
          <w:szCs w:val="24"/>
        </w:rPr>
        <w:sectPr w:rsidR="009F0D1D">
          <w:headerReference w:type="default" r:id="rId10"/>
          <w:pgSz w:w="11907" w:h="16839"/>
          <w:pgMar w:top="1417" w:right="1701" w:bottom="1417" w:left="1701" w:header="708" w:footer="708" w:gutter="0"/>
          <w:pgNumType w:start="1"/>
          <w:cols w:space="720"/>
        </w:sectPr>
      </w:pPr>
      <w:r>
        <w:rPr>
          <w:rFonts w:ascii="Arial" w:eastAsia="Arial" w:hAnsi="Arial" w:cs="Arial"/>
          <w:sz w:val="24"/>
          <w:szCs w:val="24"/>
        </w:rPr>
        <w:t>Se leyeron artículos de distintos países como Italia, Portugal, Egipto, Suecia, China, USA, entre otros, que han ido creando una serie de protocolos o pautas que buscan contrarrestar las secuelas que este virus ha desencadenado en personas contagiadas.  As</w:t>
      </w:r>
      <w:r>
        <w:rPr>
          <w:rFonts w:ascii="Arial" w:eastAsia="Arial" w:hAnsi="Arial" w:cs="Arial"/>
          <w:sz w:val="24"/>
          <w:szCs w:val="24"/>
        </w:rPr>
        <w:t>í también se analizaron estudios que incluían ejercicios y terapias enfocadas en un solo sistema, como el musculoesquelético o el cardiorrespiratorio, tanto en pacientes agudos en hospitalización UCI como también en pacientes ya en la etapa de rehabilitaci</w:t>
      </w:r>
      <w:r>
        <w:rPr>
          <w:rFonts w:ascii="Arial" w:eastAsia="Arial" w:hAnsi="Arial" w:cs="Arial"/>
          <w:sz w:val="24"/>
          <w:szCs w:val="24"/>
        </w:rPr>
        <w:t>ón. Se añadió a la recopilación, un estudio que habla de la salud mental, tema importante que se menciona en nuestro artículo. (Leer tabla 1 de estudios incluidos)</w:t>
      </w:r>
    </w:p>
    <w:p w:rsidR="009F0D1D" w:rsidRDefault="009F0D1D">
      <w:pPr>
        <w:spacing w:after="0" w:line="360" w:lineRule="auto"/>
        <w:ind w:right="5491"/>
        <w:jc w:val="both"/>
        <w:rPr>
          <w:rFonts w:ascii="Arial" w:eastAsia="Arial" w:hAnsi="Arial" w:cs="Arial"/>
          <w:sz w:val="24"/>
          <w:szCs w:val="24"/>
        </w:rPr>
      </w:pPr>
    </w:p>
    <w:p w:rsidR="009F0D1D" w:rsidRDefault="007A6F12">
      <w:pPr>
        <w:spacing w:after="0" w:line="360" w:lineRule="auto"/>
        <w:jc w:val="both"/>
        <w:rPr>
          <w:rFonts w:ascii="Arial" w:eastAsia="Arial" w:hAnsi="Arial" w:cs="Arial"/>
          <w:sz w:val="24"/>
          <w:szCs w:val="24"/>
        </w:rPr>
      </w:pPr>
      <w:r>
        <w:rPr>
          <w:rFonts w:ascii="Arial" w:eastAsia="Arial" w:hAnsi="Arial" w:cs="Arial"/>
          <w:sz w:val="16"/>
          <w:szCs w:val="16"/>
        </w:rPr>
        <w:t>Tabla 1. Estudios incluidos.</w:t>
      </w:r>
    </w:p>
    <w:tbl>
      <w:tblPr>
        <w:tblStyle w:val="a6"/>
        <w:tblW w:w="137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27"/>
        <w:gridCol w:w="2126"/>
        <w:gridCol w:w="5518"/>
        <w:gridCol w:w="3969"/>
      </w:tblGrid>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Autor</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País</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Tipo de estudio</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Población</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color w:val="333333"/>
                <w:sz w:val="24"/>
                <w:szCs w:val="24"/>
              </w:rPr>
              <w:t>Curci C; Pisano F; Bonacci E; Camozzi DM; Ceravolo C; Bergonzi R; De Franceschi S; Moro P; Guarnieri R; Ferrillo M; Negrini F; de Sire A;</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Italia</w:t>
            </w:r>
          </w:p>
          <w:p w:rsidR="009F0D1D" w:rsidRDefault="009F0D1D">
            <w:pPr>
              <w:widowControl w:val="0"/>
              <w:pBdr>
                <w:top w:val="nil"/>
                <w:left w:val="nil"/>
                <w:bottom w:val="nil"/>
                <w:right w:val="nil"/>
                <w:between w:val="nil"/>
              </w:pBdr>
              <w:rPr>
                <w:rFonts w:ascii="Arial" w:eastAsia="Arial" w:hAnsi="Arial" w:cs="Arial"/>
                <w:sz w:val="24"/>
                <w:szCs w:val="24"/>
              </w:rPr>
            </w:pP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color w:val="212121"/>
                <w:sz w:val="24"/>
                <w:szCs w:val="24"/>
                <w:highlight w:val="white"/>
              </w:rPr>
              <w:t>Estudio observacional transversal</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color w:val="212121"/>
                <w:sz w:val="24"/>
                <w:szCs w:val="24"/>
                <w:highlight w:val="white"/>
              </w:rPr>
              <w:t>Pacientes post agudo de COVID-19</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color w:val="333333"/>
                <w:sz w:val="24"/>
                <w:szCs w:val="24"/>
              </w:rPr>
              <w:t xml:space="preserve">McGregor G; Sandhu H; bruce j; Sheehan B; </w:t>
            </w:r>
            <w:r>
              <w:rPr>
                <w:rFonts w:ascii="Arial" w:eastAsia="Arial" w:hAnsi="Arial" w:cs="Arial"/>
                <w:color w:val="333333"/>
                <w:sz w:val="24"/>
                <w:szCs w:val="24"/>
              </w:rPr>
              <w:t>McWilliamsD; Yeung J; Jones C; Lara B; Smith J; JiC; hermano justo E; Ennis S; Heine P; Alleyne S; GuckJ; Padfield E; Alfarero R; albañil j; Lall R; videntes K; sotobosque M;</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Reino Unido</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color w:val="212121"/>
                <w:sz w:val="24"/>
                <w:szCs w:val="24"/>
                <w:highlight w:val="white"/>
              </w:rPr>
              <w:t>ensayo controlado aleatorizado</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color w:val="212121"/>
                <w:sz w:val="24"/>
                <w:szCs w:val="24"/>
                <w:highlight w:val="white"/>
              </w:rPr>
              <w:t>Adultos con secuelas de COVID-19 en curso más de tres meses después del alta hospitalaria</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lastRenderedPageBreak/>
              <w:t>Carvalho AC; Moreira J; Cubelo P; Cantista P; Branco CA; Guimaraes B</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Portugal</w:t>
            </w:r>
          </w:p>
        </w:tc>
        <w:tc>
          <w:tcPr>
            <w:tcW w:w="5518" w:type="dxa"/>
            <w:shd w:val="clear" w:color="auto" w:fill="auto"/>
            <w:tcMar>
              <w:top w:w="100" w:type="dxa"/>
              <w:left w:w="100" w:type="dxa"/>
              <w:bottom w:w="100" w:type="dxa"/>
              <w:right w:w="100" w:type="dxa"/>
            </w:tcMar>
          </w:tcPr>
          <w:p w:rsidR="009F0D1D" w:rsidRDefault="007A6F12">
            <w:pPr>
              <w:widowControl w:val="0"/>
              <w:rPr>
                <w:rFonts w:ascii="Arial" w:eastAsia="Arial" w:hAnsi="Arial" w:cs="Arial"/>
                <w:sz w:val="24"/>
                <w:szCs w:val="24"/>
              </w:rPr>
            </w:pPr>
            <w:r>
              <w:rPr>
                <w:rFonts w:ascii="Arial" w:eastAsia="Arial" w:hAnsi="Arial" w:cs="Arial"/>
                <w:color w:val="212121"/>
                <w:sz w:val="24"/>
                <w:szCs w:val="24"/>
                <w:highlight w:val="white"/>
              </w:rPr>
              <w:t>Ensayo clínico de tratamiento aleatorizado</w:t>
            </w:r>
          </w:p>
          <w:p w:rsidR="009F0D1D" w:rsidRDefault="009F0D1D">
            <w:pPr>
              <w:widowControl w:val="0"/>
              <w:pBdr>
                <w:top w:val="nil"/>
                <w:left w:val="nil"/>
                <w:bottom w:val="nil"/>
                <w:right w:val="nil"/>
                <w:between w:val="nil"/>
              </w:pBdr>
              <w:rPr>
                <w:rFonts w:ascii="Arial" w:eastAsia="Arial" w:hAnsi="Arial" w:cs="Arial"/>
                <w:color w:val="212121"/>
                <w:sz w:val="24"/>
                <w:szCs w:val="24"/>
                <w:highlight w:val="white"/>
              </w:rPr>
            </w:pP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sdt>
              <w:sdtPr>
                <w:tag w:val="goog_rdk_0"/>
                <w:id w:val="-949699962"/>
              </w:sdtPr>
              <w:sdtEndPr/>
              <w:sdtContent>
                <w:r>
                  <w:rPr>
                    <w:rFonts w:ascii="Arial Unicode MS" w:eastAsia="Arial Unicode MS" w:hAnsi="Arial Unicode MS" w:cs="Arial Unicode MS"/>
                    <w:color w:val="212121"/>
                    <w:sz w:val="24"/>
                    <w:szCs w:val="24"/>
                    <w:highlight w:val="white"/>
                  </w:rPr>
                  <w:t>Pacientes adultos (≥18 años) hospitalizados</w:t>
                </w:r>
                <w:r>
                  <w:rPr>
                    <w:rFonts w:ascii="Arial Unicode MS" w:eastAsia="Arial Unicode MS" w:hAnsi="Arial Unicode MS" w:cs="Arial Unicode MS"/>
                    <w:color w:val="212121"/>
                    <w:sz w:val="24"/>
                    <w:szCs w:val="24"/>
                    <w:highlight w:val="white"/>
                  </w:rPr>
                  <w:t xml:space="preserve"> en UCI con insuficiencia respiratoria por COVID-19</w:t>
                </w:r>
              </w:sdtContent>
            </w:sdt>
          </w:p>
        </w:tc>
      </w:tr>
      <w:tr w:rsidR="009F0D1D">
        <w:tc>
          <w:tcPr>
            <w:tcW w:w="2127" w:type="dxa"/>
            <w:shd w:val="clear" w:color="auto" w:fill="auto"/>
            <w:tcMar>
              <w:top w:w="100" w:type="dxa"/>
              <w:left w:w="100" w:type="dxa"/>
              <w:bottom w:w="100" w:type="dxa"/>
              <w:right w:w="100" w:type="dxa"/>
            </w:tcMar>
          </w:tcPr>
          <w:p w:rsidR="009F0D1D" w:rsidRPr="00C74DC6" w:rsidRDefault="007A6F12">
            <w:pPr>
              <w:widowControl w:val="0"/>
              <w:pBdr>
                <w:top w:val="nil"/>
                <w:left w:val="nil"/>
                <w:bottom w:val="nil"/>
                <w:right w:val="nil"/>
                <w:between w:val="nil"/>
              </w:pBdr>
              <w:rPr>
                <w:rFonts w:ascii="Arial" w:eastAsia="Arial" w:hAnsi="Arial" w:cs="Arial"/>
                <w:color w:val="333333"/>
                <w:sz w:val="24"/>
                <w:szCs w:val="24"/>
                <w:lang w:val="en-US"/>
              </w:rPr>
            </w:pPr>
            <w:r w:rsidRPr="00C74DC6">
              <w:rPr>
                <w:rFonts w:ascii="Arial" w:eastAsia="Arial" w:hAnsi="Arial" w:cs="Arial"/>
                <w:color w:val="333333"/>
                <w:sz w:val="24"/>
                <w:szCs w:val="24"/>
                <w:lang w:val="en-US"/>
              </w:rPr>
              <w:t>Abodonya AM; Abdelbasset WK; Awad EA; Elalfy IE; Salem HA; Elsayed SH;</w:t>
            </w:r>
          </w:p>
          <w:p w:rsidR="009F0D1D" w:rsidRPr="00C74DC6" w:rsidRDefault="009F0D1D">
            <w:pPr>
              <w:widowControl w:val="0"/>
              <w:pBdr>
                <w:top w:val="nil"/>
                <w:left w:val="nil"/>
                <w:bottom w:val="nil"/>
                <w:right w:val="nil"/>
                <w:between w:val="nil"/>
              </w:pBdr>
              <w:rPr>
                <w:rFonts w:ascii="Arial" w:eastAsia="Arial" w:hAnsi="Arial" w:cs="Arial"/>
                <w:color w:val="333333"/>
                <w:sz w:val="24"/>
                <w:szCs w:val="24"/>
                <w:lang w:val="en-US"/>
              </w:rPr>
            </w:pPr>
          </w:p>
          <w:p w:rsidR="009F0D1D" w:rsidRPr="00C74DC6" w:rsidRDefault="009F0D1D">
            <w:pPr>
              <w:widowControl w:val="0"/>
              <w:pBdr>
                <w:top w:val="nil"/>
                <w:left w:val="nil"/>
                <w:bottom w:val="nil"/>
                <w:right w:val="nil"/>
                <w:between w:val="nil"/>
              </w:pBdr>
              <w:rPr>
                <w:rFonts w:ascii="Arial" w:eastAsia="Arial" w:hAnsi="Arial" w:cs="Arial"/>
                <w:color w:val="333333"/>
                <w:sz w:val="24"/>
                <w:szCs w:val="24"/>
                <w:lang w:val="en-US"/>
              </w:rPr>
            </w:pP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Egipto</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Un estudio clínico de control piloto</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recuperados de COVID-19 después del destete de la ventilación mecánica.</w:t>
            </w:r>
          </w:p>
        </w:tc>
      </w:tr>
      <w:tr w:rsidR="009F0D1D">
        <w:trPr>
          <w:trHeight w:val="3384"/>
        </w:trPr>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Rydwik E; Anmyr L; Regardt M; McAllister A; Zarenoe R; Åkerman E; Orrevall Y; Bragesjö M; Dahl O; Kemani MK; Nordstrand L; Ekman U; Holmström L; Nygren - Bonnier M.</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Suecia</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Estudio observacional longitudinal</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post COVID-19 mayores de 18 años que sean remitidos a la clínica ambulatoria</w:t>
            </w:r>
          </w:p>
        </w:tc>
      </w:tr>
      <w:tr w:rsidR="009F0D1D">
        <w:tc>
          <w:tcPr>
            <w:tcW w:w="2127" w:type="dxa"/>
            <w:shd w:val="clear" w:color="auto" w:fill="auto"/>
            <w:tcMar>
              <w:top w:w="100" w:type="dxa"/>
              <w:left w:w="100" w:type="dxa"/>
              <w:bottom w:w="100" w:type="dxa"/>
              <w:right w:w="100" w:type="dxa"/>
            </w:tcMar>
          </w:tcPr>
          <w:p w:rsidR="009F0D1D" w:rsidRPr="00C74DC6" w:rsidRDefault="007A6F12">
            <w:pPr>
              <w:widowControl w:val="0"/>
              <w:pBdr>
                <w:top w:val="nil"/>
                <w:left w:val="nil"/>
                <w:bottom w:val="nil"/>
                <w:right w:val="nil"/>
                <w:between w:val="nil"/>
              </w:pBdr>
              <w:rPr>
                <w:rFonts w:ascii="Arial" w:eastAsia="Arial" w:hAnsi="Arial" w:cs="Arial"/>
                <w:color w:val="333333"/>
                <w:sz w:val="24"/>
                <w:szCs w:val="24"/>
                <w:lang w:val="en-US"/>
              </w:rPr>
            </w:pPr>
            <w:r w:rsidRPr="00C74DC6">
              <w:rPr>
                <w:rFonts w:ascii="Arial" w:eastAsia="Arial" w:hAnsi="Arial" w:cs="Arial"/>
                <w:color w:val="333333"/>
                <w:sz w:val="24"/>
                <w:szCs w:val="24"/>
                <w:lang w:val="en-US"/>
              </w:rPr>
              <w:t xml:space="preserve">Wang D; LiJ; Zhu F; Hong Q; Zhang </w:t>
            </w:r>
            <w:r w:rsidRPr="00C74DC6">
              <w:rPr>
                <w:rFonts w:ascii="Arial" w:eastAsia="Arial" w:hAnsi="Arial" w:cs="Arial"/>
                <w:color w:val="333333"/>
                <w:sz w:val="24"/>
                <w:szCs w:val="24"/>
                <w:lang w:val="en-US"/>
              </w:rPr>
              <w:lastRenderedPageBreak/>
              <w:t>M; Gao M; Chen W.;</w:t>
            </w:r>
          </w:p>
          <w:p w:rsidR="009F0D1D" w:rsidRPr="00C74DC6" w:rsidRDefault="009F0D1D">
            <w:pPr>
              <w:widowControl w:val="0"/>
              <w:pBdr>
                <w:top w:val="nil"/>
                <w:left w:val="nil"/>
                <w:bottom w:val="nil"/>
                <w:right w:val="nil"/>
                <w:between w:val="nil"/>
              </w:pBdr>
              <w:rPr>
                <w:rFonts w:ascii="Arial" w:eastAsia="Arial" w:hAnsi="Arial" w:cs="Arial"/>
                <w:color w:val="333333"/>
                <w:sz w:val="24"/>
                <w:szCs w:val="24"/>
                <w:lang w:val="en-US"/>
              </w:rPr>
            </w:pPr>
          </w:p>
          <w:p w:rsidR="009F0D1D" w:rsidRPr="00C74DC6" w:rsidRDefault="009F0D1D">
            <w:pPr>
              <w:widowControl w:val="0"/>
              <w:pBdr>
                <w:top w:val="nil"/>
                <w:left w:val="nil"/>
                <w:bottom w:val="nil"/>
                <w:right w:val="nil"/>
                <w:between w:val="nil"/>
              </w:pBdr>
              <w:rPr>
                <w:rFonts w:ascii="Arial" w:eastAsia="Arial" w:hAnsi="Arial" w:cs="Arial"/>
                <w:color w:val="333333"/>
                <w:sz w:val="24"/>
                <w:szCs w:val="24"/>
                <w:lang w:val="en-US"/>
              </w:rPr>
            </w:pP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lastRenderedPageBreak/>
              <w:t>china</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Revisión sistemática</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dados de alta con COVID-19</w:t>
            </w:r>
          </w:p>
        </w:tc>
      </w:tr>
      <w:tr w:rsidR="009F0D1D">
        <w:trPr>
          <w:trHeight w:val="1560"/>
        </w:trPr>
        <w:tc>
          <w:tcPr>
            <w:tcW w:w="2127" w:type="dxa"/>
            <w:shd w:val="clear" w:color="auto" w:fill="auto"/>
            <w:tcMar>
              <w:top w:w="100" w:type="dxa"/>
              <w:left w:w="100" w:type="dxa"/>
              <w:bottom w:w="100" w:type="dxa"/>
              <w:right w:w="100" w:type="dxa"/>
            </w:tcMar>
          </w:tcPr>
          <w:p w:rsidR="009F0D1D" w:rsidRPr="00C74DC6" w:rsidRDefault="007A6F12">
            <w:pPr>
              <w:widowControl w:val="0"/>
              <w:pBdr>
                <w:top w:val="nil"/>
                <w:left w:val="nil"/>
                <w:bottom w:val="nil"/>
                <w:right w:val="nil"/>
                <w:between w:val="nil"/>
              </w:pBdr>
              <w:rPr>
                <w:rFonts w:ascii="Arial" w:eastAsia="Arial" w:hAnsi="Arial" w:cs="Arial"/>
                <w:color w:val="333333"/>
                <w:sz w:val="24"/>
                <w:szCs w:val="24"/>
                <w:lang w:val="en-US"/>
              </w:rPr>
            </w:pPr>
            <w:r w:rsidRPr="00C74DC6">
              <w:rPr>
                <w:rFonts w:ascii="Arial" w:eastAsia="Arial" w:hAnsi="Arial" w:cs="Arial"/>
                <w:color w:val="333333"/>
                <w:sz w:val="24"/>
                <w:szCs w:val="24"/>
                <w:lang w:val="en-US"/>
              </w:rPr>
              <w:t>Betschart M; Rezek S; Unger I; Beyer S; Gisi D; Shannon H; Sieber C;</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 xml:space="preserve">Suiza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Estudio de viabilidad </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con alta hospitalaria después de COVID-19</w:t>
            </w:r>
          </w:p>
        </w:tc>
      </w:tr>
      <w:tr w:rsidR="009F0D1D">
        <w:tc>
          <w:tcPr>
            <w:tcW w:w="2127" w:type="dxa"/>
            <w:shd w:val="clear" w:color="auto" w:fill="auto"/>
            <w:tcMar>
              <w:top w:w="100" w:type="dxa"/>
              <w:left w:w="100" w:type="dxa"/>
              <w:bottom w:w="100" w:type="dxa"/>
              <w:right w:w="100" w:type="dxa"/>
            </w:tcMar>
          </w:tcPr>
          <w:p w:rsidR="009F0D1D" w:rsidRPr="00C74DC6" w:rsidRDefault="007A6F12">
            <w:pPr>
              <w:widowControl w:val="0"/>
              <w:pBdr>
                <w:top w:val="nil"/>
                <w:left w:val="nil"/>
                <w:bottom w:val="nil"/>
                <w:right w:val="nil"/>
                <w:between w:val="nil"/>
              </w:pBdr>
              <w:rPr>
                <w:rFonts w:ascii="Arial" w:eastAsia="Arial" w:hAnsi="Arial" w:cs="Arial"/>
                <w:color w:val="333333"/>
                <w:sz w:val="24"/>
                <w:szCs w:val="24"/>
                <w:lang w:val="en-US"/>
              </w:rPr>
            </w:pPr>
            <w:r w:rsidRPr="00C74DC6">
              <w:rPr>
                <w:rFonts w:ascii="Arial" w:eastAsia="Arial" w:hAnsi="Arial" w:cs="Arial"/>
                <w:color w:val="333333"/>
                <w:sz w:val="24"/>
                <w:szCs w:val="24"/>
                <w:lang w:val="en-US"/>
              </w:rPr>
              <w:t>Duan Y; Xiong M; Wang H; Yao X; LiuH; LiG;</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 xml:space="preserve">China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Revisión sistemática </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diagnosticados como neumonía causada por una nueva infección por coronavirus (2019-nCoV)</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Halili A</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EE.UU</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Estudio retrospectivo</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con molestias respiratorias o dolor en el área del pecho</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 xml:space="preserve">Godoy CG; Silva ECGE; Oliveira DB; Gambeta AC; EMD Silva; CamposCM; Schmitt ACB; Carvalho CRF; FuC; Tanaka C; Nakagawa NK; Toufen Júnior C; </w:t>
            </w:r>
            <w:r>
              <w:rPr>
                <w:rFonts w:ascii="Arial" w:eastAsia="Arial" w:hAnsi="Arial" w:cs="Arial"/>
                <w:color w:val="333333"/>
                <w:sz w:val="24"/>
                <w:szCs w:val="24"/>
              </w:rPr>
              <w:lastRenderedPageBreak/>
              <w:t>Carvalho CRR; Colina K; Pompeu JE;</w:t>
            </w:r>
          </w:p>
          <w:p w:rsidR="009F0D1D" w:rsidRDefault="009F0D1D">
            <w:pPr>
              <w:widowControl w:val="0"/>
              <w:pBdr>
                <w:top w:val="nil"/>
                <w:left w:val="nil"/>
                <w:bottom w:val="nil"/>
                <w:right w:val="nil"/>
                <w:between w:val="nil"/>
              </w:pBdr>
              <w:rPr>
                <w:rFonts w:ascii="Arial" w:eastAsia="Arial" w:hAnsi="Arial" w:cs="Arial"/>
                <w:color w:val="333333"/>
                <w:sz w:val="24"/>
                <w:szCs w:val="24"/>
              </w:rPr>
            </w:pPr>
          </w:p>
          <w:p w:rsidR="009F0D1D" w:rsidRDefault="009F0D1D">
            <w:pPr>
              <w:widowControl w:val="0"/>
              <w:pBdr>
                <w:top w:val="nil"/>
                <w:left w:val="nil"/>
                <w:bottom w:val="nil"/>
                <w:right w:val="nil"/>
                <w:between w:val="nil"/>
              </w:pBdr>
              <w:rPr>
                <w:rFonts w:ascii="Arial" w:eastAsia="Arial" w:hAnsi="Arial" w:cs="Arial"/>
                <w:color w:val="333333"/>
                <w:sz w:val="24"/>
                <w:szCs w:val="24"/>
              </w:rPr>
            </w:pP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lastRenderedPageBreak/>
              <w:t xml:space="preserve">Brasil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Estudio de cohortes</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mayores de 18 años con diagnóstico confir</w:t>
            </w:r>
            <w:r>
              <w:rPr>
                <w:rFonts w:ascii="Arial" w:eastAsia="Arial" w:hAnsi="Arial" w:cs="Arial"/>
                <w:color w:val="212121"/>
                <w:sz w:val="24"/>
                <w:szCs w:val="24"/>
                <w:highlight w:val="white"/>
              </w:rPr>
              <w:t>mado de covid-19</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Ciertos Curi AC; Antunes Ferreira AP; Calazans Nogueira LA; Meziat Filho NAM; Sa Ferreira A;</w:t>
            </w:r>
          </w:p>
          <w:p w:rsidR="009F0D1D" w:rsidRDefault="009F0D1D">
            <w:pPr>
              <w:widowControl w:val="0"/>
              <w:pBdr>
                <w:top w:val="nil"/>
                <w:left w:val="nil"/>
                <w:bottom w:val="nil"/>
                <w:right w:val="nil"/>
                <w:between w:val="nil"/>
              </w:pBdr>
              <w:rPr>
                <w:rFonts w:ascii="Arial" w:eastAsia="Arial" w:hAnsi="Arial" w:cs="Arial"/>
                <w:color w:val="333333"/>
                <w:sz w:val="24"/>
                <w:szCs w:val="24"/>
              </w:rPr>
            </w:pPr>
          </w:p>
          <w:p w:rsidR="009F0D1D" w:rsidRDefault="009F0D1D">
            <w:pPr>
              <w:widowControl w:val="0"/>
              <w:pBdr>
                <w:top w:val="nil"/>
                <w:left w:val="nil"/>
                <w:bottom w:val="nil"/>
                <w:right w:val="nil"/>
                <w:between w:val="nil"/>
              </w:pBdr>
              <w:rPr>
                <w:rFonts w:ascii="Arial" w:eastAsia="Arial" w:hAnsi="Arial" w:cs="Arial"/>
                <w:color w:val="333333"/>
                <w:sz w:val="24"/>
                <w:szCs w:val="24"/>
              </w:rPr>
            </w:pP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 xml:space="preserve">Brasil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Ensayo aleatorizado </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Participantes asignados al azar</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Qiu G; JiY; bronceado Y; el B; bronceado C; Wang Z; Gao H;</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china</w:t>
            </w:r>
          </w:p>
        </w:tc>
        <w:tc>
          <w:tcPr>
            <w:tcW w:w="5518" w:type="dxa"/>
            <w:shd w:val="clear" w:color="auto" w:fill="auto"/>
            <w:tcMar>
              <w:top w:w="100" w:type="dxa"/>
              <w:left w:w="100" w:type="dxa"/>
              <w:bottom w:w="100" w:type="dxa"/>
              <w:right w:w="100" w:type="dxa"/>
            </w:tcMar>
          </w:tcPr>
          <w:p w:rsidR="009F0D1D" w:rsidRDefault="007A6F12">
            <w:pPr>
              <w:widowControl w:val="0"/>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Revisión sistemática </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con covid</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Hawke LD; ATP de Nguyen; CF de esquí; Thompson DR; Mac; Castillo D;</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 xml:space="preserve">Canadá </w:t>
            </w:r>
          </w:p>
        </w:tc>
        <w:tc>
          <w:tcPr>
            <w:tcW w:w="5518" w:type="dxa"/>
            <w:shd w:val="clear" w:color="auto" w:fill="auto"/>
            <w:tcMar>
              <w:top w:w="100" w:type="dxa"/>
              <w:left w:w="100" w:type="dxa"/>
              <w:bottom w:w="100" w:type="dxa"/>
              <w:right w:w="100" w:type="dxa"/>
            </w:tcMar>
          </w:tcPr>
          <w:p w:rsidR="009F0D1D" w:rsidRDefault="007A6F12">
            <w:pPr>
              <w:widowControl w:val="0"/>
              <w:rPr>
                <w:rFonts w:ascii="Arial" w:eastAsia="Arial" w:hAnsi="Arial" w:cs="Arial"/>
                <w:color w:val="212121"/>
                <w:sz w:val="24"/>
                <w:szCs w:val="24"/>
                <w:highlight w:val="white"/>
              </w:rPr>
            </w:pPr>
            <w:r>
              <w:rPr>
                <w:rFonts w:ascii="Arial" w:eastAsia="Arial" w:hAnsi="Arial" w:cs="Arial"/>
                <w:color w:val="212121"/>
                <w:sz w:val="24"/>
                <w:szCs w:val="24"/>
                <w:highlight w:val="white"/>
              </w:rPr>
              <w:t>Revisión sistemática</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Pacientes con COVID prolongado </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 xml:space="preserve">Prado, Alexandre Konig García; Alves, Jhennifer </w:t>
            </w:r>
            <w:r>
              <w:rPr>
                <w:rFonts w:ascii="Arial" w:eastAsia="Arial" w:hAnsi="Arial" w:cs="Arial"/>
                <w:color w:val="333333"/>
                <w:sz w:val="24"/>
                <w:szCs w:val="24"/>
              </w:rPr>
              <w:lastRenderedPageBreak/>
              <w:t>Carolina de Almeida; Gurginski, Renata Neli Moreno; Mikuni, Thaymara; Zata, Danieli; Albuquerque, Paula Lucía Magalhães da Silva; Oliveira, João Ricardo Gabriel de;</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lastRenderedPageBreak/>
              <w:t xml:space="preserve">Brasil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Revisión de alcance </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Pacientes con </w:t>
            </w:r>
            <w:r>
              <w:rPr>
                <w:rFonts w:ascii="Arial" w:eastAsia="Arial" w:hAnsi="Arial" w:cs="Arial"/>
                <w:color w:val="212121"/>
                <w:sz w:val="24"/>
                <w:szCs w:val="24"/>
                <w:highlight w:val="white"/>
              </w:rPr>
              <w:t xml:space="preserve">COVID mayores de 18 años </w:t>
            </w:r>
          </w:p>
        </w:tc>
      </w:tr>
      <w:tr w:rsidR="009F0D1D">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Moreno, Jorge Enrique; Pinzón Ríos, Iván Darío; Rodríguez, Lizeth Catherine; Reyes, Mabel Margoth; Torres, José Ignacio;</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 xml:space="preserve">Colombia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Revisión de la literatura</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post covid-19</w:t>
            </w:r>
          </w:p>
        </w:tc>
      </w:tr>
      <w:tr w:rsidR="009F0D1D">
        <w:trPr>
          <w:trHeight w:val="3132"/>
        </w:trPr>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lastRenderedPageBreak/>
              <w:t>Imamura, Marta; Mirisola, Aline Rossetti; Ribeiro, Fernando de Quadros; De Pretto, Lucas Ramos; Alfieri, Fábio Marcon; Delgado, Vinicius Ramos; Battistella, Linamara Rizzo;</w:t>
            </w:r>
          </w:p>
          <w:p w:rsidR="009F0D1D" w:rsidRDefault="009F0D1D">
            <w:pPr>
              <w:widowControl w:val="0"/>
              <w:pBdr>
                <w:top w:val="nil"/>
                <w:left w:val="nil"/>
                <w:bottom w:val="nil"/>
                <w:right w:val="nil"/>
                <w:between w:val="nil"/>
              </w:pBdr>
              <w:rPr>
                <w:rFonts w:ascii="Arial" w:eastAsia="Arial" w:hAnsi="Arial" w:cs="Arial"/>
                <w:color w:val="333333"/>
                <w:sz w:val="24"/>
                <w:szCs w:val="24"/>
              </w:rPr>
            </w:pPr>
          </w:p>
          <w:p w:rsidR="009F0D1D" w:rsidRDefault="009F0D1D">
            <w:pPr>
              <w:widowControl w:val="0"/>
              <w:pBdr>
                <w:top w:val="nil"/>
                <w:left w:val="nil"/>
                <w:bottom w:val="nil"/>
                <w:right w:val="nil"/>
                <w:between w:val="nil"/>
              </w:pBdr>
              <w:rPr>
                <w:rFonts w:ascii="Arial" w:eastAsia="Arial" w:hAnsi="Arial" w:cs="Arial"/>
                <w:color w:val="333333"/>
                <w:sz w:val="24"/>
                <w:szCs w:val="24"/>
              </w:rPr>
            </w:pP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Brasil</w:t>
            </w:r>
          </w:p>
        </w:tc>
        <w:tc>
          <w:tcPr>
            <w:tcW w:w="5518" w:type="dxa"/>
            <w:shd w:val="clear" w:color="auto" w:fill="auto"/>
            <w:tcMar>
              <w:top w:w="100" w:type="dxa"/>
              <w:left w:w="100" w:type="dxa"/>
              <w:bottom w:w="100" w:type="dxa"/>
              <w:right w:w="100" w:type="dxa"/>
            </w:tcMar>
          </w:tcPr>
          <w:p w:rsidR="009F0D1D" w:rsidRDefault="007A6F12">
            <w:pPr>
              <w:widowControl w:val="0"/>
              <w:rPr>
                <w:rFonts w:ascii="Arial" w:eastAsia="Arial" w:hAnsi="Arial" w:cs="Arial"/>
                <w:color w:val="212121"/>
                <w:sz w:val="24"/>
                <w:szCs w:val="24"/>
                <w:highlight w:val="white"/>
              </w:rPr>
            </w:pPr>
            <w:r>
              <w:rPr>
                <w:rFonts w:ascii="Arial" w:eastAsia="Arial" w:hAnsi="Arial" w:cs="Arial"/>
                <w:color w:val="212121"/>
                <w:sz w:val="24"/>
                <w:szCs w:val="24"/>
                <w:highlight w:val="white"/>
              </w:rPr>
              <w:t>Estudio retrospectivo</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sobrevivientes de covid-19</w:t>
            </w:r>
          </w:p>
        </w:tc>
      </w:tr>
      <w:tr w:rsidR="009F0D1D">
        <w:trPr>
          <w:trHeight w:val="840"/>
        </w:trPr>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Kalirathinam, Deivendran; Guruchandran, Raj; Subramani, Prabhakar;</w:t>
            </w: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 xml:space="preserve">Reino unido </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 xml:space="preserve">Revisión narrativa </w:t>
            </w: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confirmados de covid-19</w:t>
            </w:r>
          </w:p>
        </w:tc>
      </w:tr>
      <w:tr w:rsidR="009F0D1D">
        <w:trPr>
          <w:trHeight w:val="840"/>
        </w:trPr>
        <w:tc>
          <w:tcPr>
            <w:tcW w:w="2127"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333333"/>
                <w:sz w:val="24"/>
                <w:szCs w:val="24"/>
              </w:rPr>
            </w:pPr>
            <w:r>
              <w:rPr>
                <w:rFonts w:ascii="Arial" w:eastAsia="Arial" w:hAnsi="Arial" w:cs="Arial"/>
                <w:color w:val="333333"/>
                <w:sz w:val="24"/>
                <w:szCs w:val="24"/>
              </w:rPr>
              <w:t>Yan H; Ouyang Y; Wang L; Luo X; Zhan Q</w:t>
            </w:r>
          </w:p>
          <w:p w:rsidR="009F0D1D" w:rsidRDefault="009F0D1D">
            <w:pPr>
              <w:widowControl w:val="0"/>
              <w:pBdr>
                <w:top w:val="nil"/>
                <w:left w:val="nil"/>
                <w:bottom w:val="nil"/>
                <w:right w:val="nil"/>
                <w:between w:val="nil"/>
              </w:pBdr>
              <w:rPr>
                <w:rFonts w:ascii="Arial" w:eastAsia="Arial" w:hAnsi="Arial" w:cs="Arial"/>
                <w:color w:val="333333"/>
                <w:sz w:val="24"/>
                <w:szCs w:val="24"/>
              </w:rPr>
            </w:pPr>
          </w:p>
        </w:tc>
        <w:tc>
          <w:tcPr>
            <w:tcW w:w="2126"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sz w:val="24"/>
                <w:szCs w:val="24"/>
              </w:rPr>
            </w:pPr>
            <w:r>
              <w:rPr>
                <w:rFonts w:ascii="Arial" w:eastAsia="Arial" w:hAnsi="Arial" w:cs="Arial"/>
                <w:sz w:val="24"/>
                <w:szCs w:val="24"/>
              </w:rPr>
              <w:t>China</w:t>
            </w:r>
          </w:p>
        </w:tc>
        <w:tc>
          <w:tcPr>
            <w:tcW w:w="5518"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Revisión sistemática.</w:t>
            </w:r>
          </w:p>
          <w:p w:rsidR="009F0D1D" w:rsidRDefault="009F0D1D">
            <w:pPr>
              <w:widowControl w:val="0"/>
              <w:pBdr>
                <w:top w:val="nil"/>
                <w:left w:val="nil"/>
                <w:bottom w:val="nil"/>
                <w:right w:val="nil"/>
                <w:between w:val="nil"/>
              </w:pBdr>
              <w:rPr>
                <w:rFonts w:ascii="Arial" w:eastAsia="Arial" w:hAnsi="Arial" w:cs="Arial"/>
                <w:color w:val="212121"/>
                <w:sz w:val="24"/>
                <w:szCs w:val="24"/>
                <w:highlight w:val="white"/>
              </w:rPr>
            </w:pPr>
          </w:p>
        </w:tc>
        <w:tc>
          <w:tcPr>
            <w:tcW w:w="3969" w:type="dxa"/>
            <w:shd w:val="clear" w:color="auto" w:fill="auto"/>
            <w:tcMar>
              <w:top w:w="100" w:type="dxa"/>
              <w:left w:w="100" w:type="dxa"/>
              <w:bottom w:w="100" w:type="dxa"/>
              <w:right w:w="100" w:type="dxa"/>
            </w:tcMar>
          </w:tcPr>
          <w:p w:rsidR="009F0D1D" w:rsidRDefault="007A6F12">
            <w:pPr>
              <w:widowControl w:val="0"/>
              <w:pBdr>
                <w:top w:val="nil"/>
                <w:left w:val="nil"/>
                <w:bottom w:val="nil"/>
                <w:right w:val="nil"/>
                <w:between w:val="nil"/>
              </w:pBdr>
              <w:rPr>
                <w:rFonts w:ascii="Arial" w:eastAsia="Arial" w:hAnsi="Arial" w:cs="Arial"/>
                <w:color w:val="212121"/>
                <w:sz w:val="24"/>
                <w:szCs w:val="24"/>
                <w:highlight w:val="white"/>
              </w:rPr>
            </w:pPr>
            <w:r>
              <w:rPr>
                <w:rFonts w:ascii="Arial" w:eastAsia="Arial" w:hAnsi="Arial" w:cs="Arial"/>
                <w:color w:val="212121"/>
                <w:sz w:val="24"/>
                <w:szCs w:val="24"/>
                <w:highlight w:val="white"/>
              </w:rPr>
              <w:t>Pacientes adultos mayores con covid-19</w:t>
            </w:r>
          </w:p>
        </w:tc>
      </w:tr>
    </w:tbl>
    <w:p w:rsidR="009F0D1D" w:rsidRDefault="009F0D1D">
      <w:pPr>
        <w:spacing w:after="0" w:line="360" w:lineRule="auto"/>
        <w:jc w:val="both"/>
        <w:rPr>
          <w:rFonts w:ascii="Arial" w:eastAsia="Arial" w:hAnsi="Arial" w:cs="Arial"/>
          <w:sz w:val="16"/>
          <w:szCs w:val="16"/>
        </w:rPr>
      </w:pPr>
    </w:p>
    <w:p w:rsidR="009F0D1D" w:rsidRDefault="009F0D1D">
      <w:pPr>
        <w:spacing w:after="0" w:line="360" w:lineRule="auto"/>
        <w:jc w:val="both"/>
        <w:rPr>
          <w:rFonts w:ascii="Arial" w:eastAsia="Arial" w:hAnsi="Arial" w:cs="Arial"/>
          <w:sz w:val="24"/>
          <w:szCs w:val="24"/>
        </w:rPr>
      </w:pPr>
    </w:p>
    <w:p w:rsidR="009F0D1D" w:rsidRDefault="009F0D1D">
      <w:pPr>
        <w:spacing w:after="0" w:line="360" w:lineRule="auto"/>
        <w:jc w:val="both"/>
        <w:rPr>
          <w:rFonts w:ascii="Arial" w:eastAsia="Arial" w:hAnsi="Arial" w:cs="Arial"/>
          <w:sz w:val="24"/>
          <w:szCs w:val="24"/>
        </w:rPr>
      </w:pPr>
      <w:bookmarkStart w:id="6" w:name="_heading=h.84rgbfx5pwg" w:colFirst="0" w:colLast="0"/>
      <w:bookmarkEnd w:id="6"/>
    </w:p>
    <w:p w:rsidR="009F0D1D" w:rsidRDefault="009F0D1D">
      <w:pPr>
        <w:rPr>
          <w:rFonts w:ascii="Arial" w:eastAsia="Arial" w:hAnsi="Arial" w:cs="Arial"/>
          <w:b/>
          <w:sz w:val="24"/>
          <w:szCs w:val="24"/>
        </w:rPr>
        <w:sectPr w:rsidR="009F0D1D">
          <w:pgSz w:w="16839" w:h="11907" w:orient="landscape"/>
          <w:pgMar w:top="1701" w:right="1418" w:bottom="1701" w:left="1418" w:header="709" w:footer="709" w:gutter="0"/>
          <w:pgNumType w:start="1"/>
          <w:cols w:space="720"/>
        </w:sectPr>
      </w:pP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lastRenderedPageBreak/>
        <w:t>7.2 Característica de los estudios excluidos</w:t>
      </w:r>
    </w:p>
    <w:p w:rsidR="009F0D1D" w:rsidRDefault="007A6F12">
      <w:pPr>
        <w:spacing w:after="0" w:line="360" w:lineRule="auto"/>
        <w:jc w:val="both"/>
        <w:rPr>
          <w:rFonts w:ascii="Arial" w:eastAsia="Arial" w:hAnsi="Arial" w:cs="Arial"/>
          <w:sz w:val="24"/>
          <w:szCs w:val="24"/>
        </w:rPr>
      </w:pPr>
      <w:r>
        <w:rPr>
          <w:rFonts w:ascii="Arial" w:eastAsia="Arial" w:hAnsi="Arial" w:cs="Arial"/>
          <w:sz w:val="24"/>
          <w:szCs w:val="24"/>
        </w:rPr>
        <w:t>Dentro de los estudios que fueron excluidos estos fueron principalmente por razones de tipo de población equivocada o debido al fondo de la investigación. (Tabla 2. Estudios excluidos) Un artículo fue excluido ya que no se pudo acceder a la lectura complet</w:t>
      </w:r>
      <w:r>
        <w:rPr>
          <w:rFonts w:ascii="Arial" w:eastAsia="Arial" w:hAnsi="Arial" w:cs="Arial"/>
          <w:sz w:val="24"/>
          <w:szCs w:val="24"/>
        </w:rPr>
        <w:t>a de este y solo contaba con resumen disponible.</w:t>
      </w:r>
    </w:p>
    <w:p w:rsidR="009F0D1D" w:rsidRDefault="009F0D1D">
      <w:pPr>
        <w:spacing w:after="0"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sz w:val="14"/>
          <w:szCs w:val="14"/>
        </w:rPr>
      </w:pPr>
      <w:r>
        <w:rPr>
          <w:rFonts w:ascii="Arial" w:eastAsia="Arial" w:hAnsi="Arial" w:cs="Arial"/>
          <w:sz w:val="14"/>
          <w:szCs w:val="14"/>
        </w:rPr>
        <w:t>Tabla 2. Estudios excluidos.</w:t>
      </w:r>
    </w:p>
    <w:tbl>
      <w:tblPr>
        <w:tblStyle w:val="a7"/>
        <w:tblW w:w="8495"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3959"/>
        <w:gridCol w:w="4536"/>
      </w:tblGrid>
      <w:tr w:rsidR="009F0D1D" w:rsidTr="009F0D1D">
        <w:trPr>
          <w:trHeight w:val="273"/>
        </w:trPr>
        <w:tc>
          <w:tcPr>
            <w:tcW w:w="3959" w:type="dxa"/>
          </w:tcPr>
          <w:p w:rsidR="009F0D1D" w:rsidRDefault="007A6F12">
            <w:pPr>
              <w:widowControl w:val="0"/>
              <w:pBdr>
                <w:top w:val="nil"/>
                <w:left w:val="nil"/>
                <w:bottom w:val="nil"/>
                <w:right w:val="nil"/>
                <w:between w:val="nil"/>
              </w:pBdr>
              <w:jc w:val="center"/>
              <w:rPr>
                <w:rFonts w:ascii="Arial" w:eastAsia="Arial" w:hAnsi="Arial" w:cs="Arial"/>
                <w:b/>
              </w:rPr>
            </w:pPr>
            <w:r>
              <w:rPr>
                <w:rFonts w:ascii="Arial" w:eastAsia="Arial" w:hAnsi="Arial" w:cs="Arial"/>
                <w:b/>
              </w:rPr>
              <w:t>Autor</w:t>
            </w:r>
          </w:p>
        </w:tc>
        <w:tc>
          <w:tcPr>
            <w:tcW w:w="4536" w:type="dxa"/>
          </w:tcPr>
          <w:p w:rsidR="009F0D1D" w:rsidRDefault="007A6F12">
            <w:pPr>
              <w:widowControl w:val="0"/>
              <w:pBdr>
                <w:top w:val="nil"/>
                <w:left w:val="nil"/>
                <w:bottom w:val="nil"/>
                <w:right w:val="nil"/>
                <w:between w:val="nil"/>
              </w:pBdr>
              <w:jc w:val="center"/>
              <w:rPr>
                <w:rFonts w:ascii="Arial" w:eastAsia="Arial" w:hAnsi="Arial" w:cs="Arial"/>
                <w:b/>
              </w:rPr>
            </w:pPr>
            <w:r>
              <w:rPr>
                <w:rFonts w:ascii="Arial" w:eastAsia="Arial" w:hAnsi="Arial" w:cs="Arial"/>
                <w:b/>
              </w:rPr>
              <w:t>Razón de exclusión</w:t>
            </w:r>
          </w:p>
        </w:tc>
      </w:tr>
      <w:tr w:rsidR="009F0D1D" w:rsidTr="009F0D1D">
        <w:tc>
          <w:tcPr>
            <w:tcW w:w="3959" w:type="dxa"/>
          </w:tcPr>
          <w:p w:rsidR="009F0D1D" w:rsidRPr="00C74DC6" w:rsidRDefault="007A6F12">
            <w:pPr>
              <w:widowControl w:val="0"/>
              <w:pBdr>
                <w:top w:val="nil"/>
                <w:left w:val="nil"/>
                <w:bottom w:val="nil"/>
                <w:right w:val="nil"/>
                <w:between w:val="nil"/>
              </w:pBdr>
              <w:rPr>
                <w:rFonts w:ascii="Arial" w:eastAsia="Arial" w:hAnsi="Arial" w:cs="Arial"/>
                <w:sz w:val="20"/>
                <w:szCs w:val="20"/>
                <w:lang w:val="en-US"/>
              </w:rPr>
            </w:pPr>
            <w:r w:rsidRPr="00C74DC6">
              <w:rPr>
                <w:rFonts w:ascii="Arial" w:eastAsia="Arial" w:hAnsi="Arial" w:cs="Arial"/>
                <w:color w:val="333333"/>
                <w:sz w:val="20"/>
                <w:szCs w:val="20"/>
                <w:lang w:val="en-US"/>
              </w:rPr>
              <w:t>Duan Y; Xiong M; Wang H; Yao X; LiuH; LiG;</w:t>
            </w:r>
          </w:p>
        </w:tc>
        <w:tc>
          <w:tcPr>
            <w:tcW w:w="4536" w:type="dxa"/>
          </w:tcPr>
          <w:p w:rsidR="009F0D1D" w:rsidRDefault="007A6F12">
            <w:pPr>
              <w:widowControl w:val="0"/>
              <w:pBdr>
                <w:top w:val="nil"/>
                <w:left w:val="nil"/>
                <w:bottom w:val="nil"/>
                <w:right w:val="nil"/>
                <w:between w:val="nil"/>
              </w:pBdr>
              <w:rPr>
                <w:rFonts w:ascii="Arial" w:eastAsia="Arial" w:hAnsi="Arial" w:cs="Arial"/>
                <w:sz w:val="20"/>
                <w:szCs w:val="20"/>
              </w:rPr>
            </w:pPr>
            <w:r>
              <w:rPr>
                <w:rFonts w:ascii="Arial" w:eastAsia="Arial" w:hAnsi="Arial" w:cs="Arial"/>
                <w:sz w:val="20"/>
                <w:szCs w:val="20"/>
              </w:rPr>
              <w:t>El artículo era un estudio a futuro sin mencionar datos importantes.</w:t>
            </w:r>
          </w:p>
          <w:p w:rsidR="009F0D1D" w:rsidRDefault="009F0D1D">
            <w:pPr>
              <w:widowControl w:val="0"/>
              <w:pBdr>
                <w:top w:val="nil"/>
                <w:left w:val="nil"/>
                <w:bottom w:val="nil"/>
                <w:right w:val="nil"/>
                <w:between w:val="nil"/>
              </w:pBdr>
              <w:rPr>
                <w:rFonts w:ascii="Arial" w:eastAsia="Arial" w:hAnsi="Arial" w:cs="Arial"/>
                <w:sz w:val="20"/>
                <w:szCs w:val="20"/>
              </w:rPr>
            </w:pPr>
          </w:p>
        </w:tc>
      </w:tr>
      <w:tr w:rsidR="009F0D1D" w:rsidTr="009F0D1D">
        <w:tc>
          <w:tcPr>
            <w:tcW w:w="3959" w:type="dxa"/>
          </w:tcPr>
          <w:p w:rsidR="009F0D1D" w:rsidRDefault="007A6F12">
            <w:pPr>
              <w:widowControl w:val="0"/>
              <w:pBdr>
                <w:top w:val="nil"/>
                <w:left w:val="nil"/>
                <w:bottom w:val="nil"/>
                <w:right w:val="nil"/>
                <w:between w:val="nil"/>
              </w:pBdr>
              <w:rPr>
                <w:rFonts w:ascii="Arial" w:eastAsia="Arial" w:hAnsi="Arial" w:cs="Arial"/>
                <w:color w:val="333333"/>
                <w:sz w:val="20"/>
                <w:szCs w:val="20"/>
              </w:rPr>
            </w:pPr>
            <w:r>
              <w:rPr>
                <w:rFonts w:ascii="Arial" w:eastAsia="Arial" w:hAnsi="Arial" w:cs="Arial"/>
                <w:color w:val="333333"/>
                <w:sz w:val="20"/>
                <w:szCs w:val="20"/>
              </w:rPr>
              <w:t>Curci C; Pisano F; Bonacci E; Camozzi DM; Ceravolo C; Bergonzi R; De Franceschi S; Moro P; Guarnieri R; Ferrillo M; Negrini F; de Sire A;</w:t>
            </w:r>
          </w:p>
          <w:p w:rsidR="009F0D1D" w:rsidRDefault="009F0D1D">
            <w:pPr>
              <w:widowControl w:val="0"/>
              <w:pBdr>
                <w:top w:val="nil"/>
                <w:left w:val="nil"/>
                <w:bottom w:val="nil"/>
                <w:right w:val="nil"/>
                <w:between w:val="nil"/>
              </w:pBdr>
              <w:rPr>
                <w:rFonts w:ascii="Arial" w:eastAsia="Arial" w:hAnsi="Arial" w:cs="Arial"/>
                <w:sz w:val="20"/>
                <w:szCs w:val="20"/>
              </w:rPr>
            </w:pPr>
          </w:p>
        </w:tc>
        <w:tc>
          <w:tcPr>
            <w:tcW w:w="4536" w:type="dxa"/>
          </w:tcPr>
          <w:p w:rsidR="009F0D1D" w:rsidRDefault="007A6F12">
            <w:pPr>
              <w:widowControl w:val="0"/>
              <w:pBdr>
                <w:top w:val="nil"/>
                <w:left w:val="nil"/>
                <w:bottom w:val="nil"/>
                <w:right w:val="nil"/>
                <w:between w:val="nil"/>
              </w:pBdr>
              <w:rPr>
                <w:rFonts w:ascii="Arial" w:eastAsia="Arial" w:hAnsi="Arial" w:cs="Arial"/>
                <w:sz w:val="20"/>
                <w:szCs w:val="20"/>
              </w:rPr>
            </w:pPr>
            <w:r>
              <w:rPr>
                <w:rFonts w:ascii="Arial" w:eastAsia="Arial" w:hAnsi="Arial" w:cs="Arial"/>
                <w:sz w:val="20"/>
                <w:szCs w:val="20"/>
              </w:rPr>
              <w:t>No se pudo acceder al artículo completo.</w:t>
            </w:r>
          </w:p>
        </w:tc>
      </w:tr>
      <w:tr w:rsidR="009F0D1D" w:rsidTr="009F0D1D">
        <w:tc>
          <w:tcPr>
            <w:tcW w:w="3959" w:type="dxa"/>
          </w:tcPr>
          <w:p w:rsidR="009F0D1D" w:rsidRDefault="007A6F12">
            <w:pPr>
              <w:widowControl w:val="0"/>
              <w:pBdr>
                <w:top w:val="nil"/>
                <w:left w:val="nil"/>
                <w:bottom w:val="nil"/>
                <w:right w:val="nil"/>
                <w:between w:val="nil"/>
              </w:pBdr>
              <w:rPr>
                <w:rFonts w:ascii="Arial" w:eastAsia="Arial" w:hAnsi="Arial" w:cs="Arial"/>
                <w:sz w:val="20"/>
                <w:szCs w:val="20"/>
              </w:rPr>
            </w:pPr>
            <w:r>
              <w:rPr>
                <w:rFonts w:ascii="Arial" w:eastAsia="Arial" w:hAnsi="Arial" w:cs="Arial"/>
                <w:color w:val="333333"/>
                <w:sz w:val="20"/>
                <w:szCs w:val="20"/>
              </w:rPr>
              <w:t>Rodríguez-Montoya, Ronald Milton; Hilario Vargas, Julio Santos; Alcántara-G</w:t>
            </w:r>
            <w:r>
              <w:rPr>
                <w:rFonts w:ascii="Arial" w:eastAsia="Arial" w:hAnsi="Arial" w:cs="Arial"/>
                <w:color w:val="333333"/>
                <w:sz w:val="20"/>
                <w:szCs w:val="20"/>
              </w:rPr>
              <w:t>utti, Manuel Enrique;</w:t>
            </w:r>
          </w:p>
        </w:tc>
        <w:tc>
          <w:tcPr>
            <w:tcW w:w="4536" w:type="dxa"/>
          </w:tcPr>
          <w:p w:rsidR="009F0D1D" w:rsidRDefault="007A6F12">
            <w:pPr>
              <w:widowControl w:val="0"/>
              <w:pBdr>
                <w:top w:val="nil"/>
                <w:left w:val="nil"/>
                <w:bottom w:val="nil"/>
                <w:right w:val="nil"/>
                <w:between w:val="nil"/>
              </w:pBdr>
              <w:rPr>
                <w:rFonts w:ascii="Arial" w:eastAsia="Arial" w:hAnsi="Arial" w:cs="Arial"/>
                <w:sz w:val="20"/>
                <w:szCs w:val="20"/>
              </w:rPr>
            </w:pPr>
            <w:r>
              <w:rPr>
                <w:rFonts w:ascii="Arial" w:eastAsia="Arial" w:hAnsi="Arial" w:cs="Arial"/>
                <w:sz w:val="20"/>
                <w:szCs w:val="20"/>
              </w:rPr>
              <w:t>Se enfoca en pacientes UCI que eran población de riesgo para un posible contagio de SARS-CoV2.</w:t>
            </w:r>
          </w:p>
        </w:tc>
      </w:tr>
    </w:tbl>
    <w:p w:rsidR="009F0D1D" w:rsidRDefault="009F0D1D">
      <w:pPr>
        <w:spacing w:after="0" w:line="360" w:lineRule="auto"/>
        <w:jc w:val="both"/>
        <w:rPr>
          <w:rFonts w:ascii="Arial" w:eastAsia="Arial" w:hAnsi="Arial" w:cs="Arial"/>
          <w:b/>
          <w:sz w:val="24"/>
          <w:szCs w:val="24"/>
        </w:rPr>
      </w:pPr>
    </w:p>
    <w:p w:rsidR="009F0D1D" w:rsidRDefault="009F0D1D">
      <w:pPr>
        <w:spacing w:after="0" w:line="360" w:lineRule="auto"/>
        <w:jc w:val="both"/>
        <w:rPr>
          <w:rFonts w:ascii="Arial" w:eastAsia="Arial" w:hAnsi="Arial" w:cs="Arial"/>
          <w:b/>
          <w:sz w:val="24"/>
          <w:szCs w:val="24"/>
        </w:rPr>
      </w:pP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CAPÍTULO VIII: DISCUSIÓN</w:t>
      </w:r>
    </w:p>
    <w:p w:rsidR="009F0D1D" w:rsidRDefault="009F0D1D">
      <w:pPr>
        <w:spacing w:after="0" w:line="360" w:lineRule="auto"/>
        <w:jc w:val="both"/>
        <w:rPr>
          <w:rFonts w:ascii="Arial" w:eastAsia="Arial" w:hAnsi="Arial" w:cs="Arial"/>
          <w:b/>
          <w:sz w:val="24"/>
          <w:szCs w:val="24"/>
        </w:rPr>
      </w:pP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El presente estudio tuvo como objetivo lograr sintetizar una gran cantidad de información de artículos con la finalidad de presentar aspectos importantes para la elaboración de una rehabilitación completa en pacientes post COVID-19. A pesar de ser una enfe</w:t>
      </w:r>
      <w:r>
        <w:rPr>
          <w:rFonts w:ascii="Arial" w:eastAsia="Arial" w:hAnsi="Arial" w:cs="Arial"/>
          <w:sz w:val="24"/>
          <w:szCs w:val="24"/>
        </w:rPr>
        <w:t>rmedad mundialmente conocida, la evidencia en cuanto a la rehabilitación continúa siendo escasa y pobre, ya que está en constante estudio y cambio.</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Para comenzar, la mayoría de la evidencia no muestra un protocolo completo de rehabilitación, no muestra los</w:t>
      </w:r>
      <w:r>
        <w:rPr>
          <w:rFonts w:ascii="Arial" w:eastAsia="Arial" w:hAnsi="Arial" w:cs="Arial"/>
          <w:sz w:val="24"/>
          <w:szCs w:val="24"/>
        </w:rPr>
        <w:t xml:space="preserve"> pasos a seguir, ni tampoco incluye las distintas áreas que se ven involucradas y afectadas post covid. Más bien, la mayoría de los estudios muestra la efectividad de un tipo de rehabilitación aplicada en otro tipo de enfermedades con similitud al SARS-CoV</w:t>
      </w:r>
      <w:r>
        <w:rPr>
          <w:rFonts w:ascii="Arial" w:eastAsia="Arial" w:hAnsi="Arial" w:cs="Arial"/>
          <w:sz w:val="24"/>
          <w:szCs w:val="24"/>
        </w:rPr>
        <w:t xml:space="preserve"> 2. Dentro de las rehabilitaciones más efectivas, prima la rehabilitación física general, ya que varios estudios la presentan como una opción de bajo costo, fácil de implementar si están los profesionales necesarios, además de su eficacia para aliviar sínt</w:t>
      </w:r>
      <w:r>
        <w:rPr>
          <w:rFonts w:ascii="Arial" w:eastAsia="Arial" w:hAnsi="Arial" w:cs="Arial"/>
          <w:sz w:val="24"/>
          <w:szCs w:val="24"/>
        </w:rPr>
        <w:t xml:space="preserve">omas de complicaciones anexas al covid como lo son la neumonía. </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lastRenderedPageBreak/>
        <w:t>Uno de los grandes problemas a la hora de mostrar eficacia para una rehabilitación es la amplia variedad de población, que, a pesar de reducirla a pacientes mayores de 18 años, como se hizo e</w:t>
      </w:r>
      <w:r>
        <w:rPr>
          <w:rFonts w:ascii="Arial" w:eastAsia="Arial" w:hAnsi="Arial" w:cs="Arial"/>
          <w:sz w:val="24"/>
          <w:szCs w:val="24"/>
        </w:rPr>
        <w:t>n este estudio, sigue siendo un margen muy amplio para generalizar un tratamiento. Es por esto que estudios demuestran que el ejercicio físico en la mayoría de los pacientes post covid mejora y aumenta la resistencia cardiopulmonar, pero esto no asegura ni</w:t>
      </w:r>
      <w:r>
        <w:rPr>
          <w:rFonts w:ascii="Arial" w:eastAsia="Arial" w:hAnsi="Arial" w:cs="Arial"/>
          <w:sz w:val="24"/>
          <w:szCs w:val="24"/>
        </w:rPr>
        <w:t xml:space="preserve"> se ve reflejado en la mejora de la función pulmonar en neumonía por covid en adultos mayores (18). Debido a esto, la mayoría de los estudios se ven truncados y deben ser aplicados a un rango etario más específico. Pero a pesar de esto, y como se mencionó </w:t>
      </w:r>
      <w:r>
        <w:rPr>
          <w:rFonts w:ascii="Arial" w:eastAsia="Arial" w:hAnsi="Arial" w:cs="Arial"/>
          <w:sz w:val="24"/>
          <w:szCs w:val="24"/>
        </w:rPr>
        <w:t>anteriormente, el ejercicio físico es un pilar fundamental y es apoyado enormemente por la evidencia científica presente hasta el momento. El ejercicio en la musculatura respiratoria es primordial para mejorar la calidad de las funciones de este sistema. L</w:t>
      </w:r>
      <w:r>
        <w:rPr>
          <w:rFonts w:ascii="Arial" w:eastAsia="Arial" w:hAnsi="Arial" w:cs="Arial"/>
          <w:sz w:val="24"/>
          <w:szCs w:val="24"/>
        </w:rPr>
        <w:t>a debilidad muscular por el reposo o la hospitalización es el peor enemigo, sobre todo en aquellos pacientes que requirieron la ayuda de un ventilador mecánico en su paso por la UCI. Estudios hablan de cómo la fuerza de músculos como el diafragma se ve per</w:t>
      </w:r>
      <w:r>
        <w:rPr>
          <w:rFonts w:ascii="Arial" w:eastAsia="Arial" w:hAnsi="Arial" w:cs="Arial"/>
          <w:sz w:val="24"/>
          <w:szCs w:val="24"/>
        </w:rPr>
        <w:t xml:space="preserve">judicada en pacientes que utilizaron ventilador mecánico durante su estadía en UCI, y de cómo el ejercicio en la musculatura respiratoria ayudó a recuperar sus funciones, mejorando aspectos como la disnea y la calidad de vida en general. (19) </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Junto con el trabajo físico es importante realizar una intervención en la salud mental de pacientes que experimentan síntomas post contagio de forma prolongada, ya que sumado a la fatiga respiratoria, se evidenció un deterioro en la salud mental, con trast</w:t>
      </w:r>
      <w:r>
        <w:rPr>
          <w:rFonts w:ascii="Arial" w:eastAsia="Arial" w:hAnsi="Arial" w:cs="Arial"/>
          <w:sz w:val="24"/>
          <w:szCs w:val="24"/>
        </w:rPr>
        <w:t xml:space="preserve">ornos del sueño, depresión, ansiedad, estrés post traumático, etc. </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 xml:space="preserve">La disminución de la actividad física, interacción social, actividades comunitarias y la vida cotidiana sufrieron cambios abruptos por las medidas adoptadas por diversos países con el fin </w:t>
      </w:r>
      <w:r>
        <w:rPr>
          <w:rFonts w:ascii="Arial" w:eastAsia="Arial" w:hAnsi="Arial" w:cs="Arial"/>
          <w:sz w:val="24"/>
          <w:szCs w:val="24"/>
        </w:rPr>
        <w:t>de disminuir la propagación del virus y la cantidad de contagios, esto trajo consigo cambios en el estilo de vida de todas las personas, siendo factores que aumentan el deterioro psicológico y pueden contribuir al desarrollo de los síntomas psicológicos(20</w:t>
      </w:r>
      <w:r>
        <w:rPr>
          <w:rFonts w:ascii="Arial" w:eastAsia="Arial" w:hAnsi="Arial" w:cs="Arial"/>
          <w:sz w:val="24"/>
          <w:szCs w:val="24"/>
        </w:rPr>
        <w:t xml:space="preserve">). El estudio sobre las afecciones psicológicas es escasa y muy poco estudiada, encontrando una limitada información al respecto, al igual que otras áreas de salud, sin embargo, se debe </w:t>
      </w:r>
      <w:r>
        <w:rPr>
          <w:rFonts w:ascii="Arial" w:eastAsia="Arial" w:hAnsi="Arial" w:cs="Arial"/>
          <w:sz w:val="24"/>
          <w:szCs w:val="24"/>
        </w:rPr>
        <w:lastRenderedPageBreak/>
        <w:t>combinar la rehabilitación física y psicológica para lograr un tratami</w:t>
      </w:r>
      <w:r>
        <w:rPr>
          <w:rFonts w:ascii="Arial" w:eastAsia="Arial" w:hAnsi="Arial" w:cs="Arial"/>
          <w:sz w:val="24"/>
          <w:szCs w:val="24"/>
        </w:rPr>
        <w:t>ento integral para los pacientes post COVID-19.</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El estudio a futuro tiene mucho por descubrir, ya que la evidencia es dinámica y se sigue superando así misma, por lo que aún no se puede establecer una sola fórmula para la rehabilitación ideal. Incluir reha</w:t>
      </w:r>
      <w:r>
        <w:rPr>
          <w:rFonts w:ascii="Arial" w:eastAsia="Arial" w:hAnsi="Arial" w:cs="Arial"/>
          <w:sz w:val="24"/>
          <w:szCs w:val="24"/>
        </w:rPr>
        <w:t>bilitación respiratoria junto con otras áreas como la psicológica son tareas que a futuro se pueden desarrollar y funcionar como una terapia más completa e inclusiva. Por otro lado, la inclusión de estudios en diferentes tipos de poblaciones, y no solo ais</w:t>
      </w:r>
      <w:r>
        <w:rPr>
          <w:rFonts w:ascii="Arial" w:eastAsia="Arial" w:hAnsi="Arial" w:cs="Arial"/>
          <w:sz w:val="24"/>
          <w:szCs w:val="24"/>
        </w:rPr>
        <w:t>lada a pacientes propensos a sufrir secuelas, es una meta que lógicamente por lo reciente de la enfermedad se limita demasiado a cierto tipo de poblaciones.</w:t>
      </w:r>
    </w:p>
    <w:p w:rsidR="009F0D1D" w:rsidRDefault="009F0D1D">
      <w:pPr>
        <w:spacing w:line="360" w:lineRule="auto"/>
        <w:jc w:val="both"/>
        <w:rPr>
          <w:rFonts w:ascii="Arial" w:eastAsia="Arial" w:hAnsi="Arial" w:cs="Arial"/>
          <w:sz w:val="24"/>
          <w:szCs w:val="24"/>
        </w:rPr>
      </w:pPr>
    </w:p>
    <w:p w:rsidR="009F0D1D" w:rsidRDefault="007A6F12">
      <w:pPr>
        <w:spacing w:after="0" w:line="360" w:lineRule="auto"/>
        <w:jc w:val="both"/>
        <w:rPr>
          <w:rFonts w:ascii="Arial" w:eastAsia="Arial" w:hAnsi="Arial" w:cs="Arial"/>
          <w:b/>
          <w:sz w:val="24"/>
          <w:szCs w:val="24"/>
        </w:rPr>
      </w:pPr>
      <w:r>
        <w:rPr>
          <w:rFonts w:ascii="Arial" w:eastAsia="Arial" w:hAnsi="Arial" w:cs="Arial"/>
          <w:b/>
          <w:sz w:val="24"/>
          <w:szCs w:val="24"/>
        </w:rPr>
        <w:t>CAPÍTULO IX: CONCLUSIONES</w:t>
      </w:r>
    </w:p>
    <w:p w:rsidR="009F0D1D" w:rsidRDefault="009F0D1D">
      <w:pPr>
        <w:spacing w:line="360" w:lineRule="auto"/>
        <w:jc w:val="both"/>
        <w:rPr>
          <w:rFonts w:ascii="Arial" w:eastAsia="Arial" w:hAnsi="Arial" w:cs="Arial"/>
          <w:sz w:val="24"/>
          <w:szCs w:val="24"/>
        </w:rPr>
      </w:pP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La pandemia por COVID-19 fue un acontecimiento que llegó a generar un i</w:t>
      </w:r>
      <w:r>
        <w:rPr>
          <w:rFonts w:ascii="Arial" w:eastAsia="Arial" w:hAnsi="Arial" w:cs="Arial"/>
          <w:sz w:val="24"/>
          <w:szCs w:val="24"/>
        </w:rPr>
        <w:t>mpacto social, cultural y económico en el mundo, sobrepasando todo tipo de barreras y demostrando la cantidad de conocimiento que aún falta por comprender sobre algunas enfermedades. Por esto mismo, ese conocimiento está en constante desarrollo sobre la en</w:t>
      </w:r>
      <w:r>
        <w:rPr>
          <w:rFonts w:ascii="Arial" w:eastAsia="Arial" w:hAnsi="Arial" w:cs="Arial"/>
          <w:sz w:val="24"/>
          <w:szCs w:val="24"/>
        </w:rPr>
        <w:t>fermedad, aún queda mucho por estudiar y aprender, ya que si bien todo el tiempo están saliendo artículos que permiten saber llevar y entender un poco la enfermedad esto está muy lejos de poder establecer algo concreto y totalmente concreto.</w:t>
      </w:r>
    </w:p>
    <w:p w:rsidR="009F0D1D" w:rsidRDefault="007A6F12">
      <w:pPr>
        <w:spacing w:line="360" w:lineRule="auto"/>
        <w:jc w:val="both"/>
        <w:rPr>
          <w:rFonts w:ascii="Arial" w:eastAsia="Arial" w:hAnsi="Arial" w:cs="Arial"/>
          <w:sz w:val="24"/>
          <w:szCs w:val="24"/>
        </w:rPr>
      </w:pPr>
      <w:r>
        <w:rPr>
          <w:rFonts w:ascii="Arial" w:eastAsia="Arial" w:hAnsi="Arial" w:cs="Arial"/>
          <w:sz w:val="24"/>
          <w:szCs w:val="24"/>
        </w:rPr>
        <w:t>Con fundamento</w:t>
      </w:r>
      <w:r>
        <w:rPr>
          <w:rFonts w:ascii="Arial" w:eastAsia="Arial" w:hAnsi="Arial" w:cs="Arial"/>
          <w:sz w:val="24"/>
          <w:szCs w:val="24"/>
        </w:rPr>
        <w:t xml:space="preserve"> en la evidencia científica escasa, la cual aún está en constante estudio y progreso, podemos concluir que se debe considerar no solo el aspecto cardiorrespiratorio o musculoesquelético a la hora de la rehabilitación post COVID-19, sino contar un equipo mu</w:t>
      </w:r>
      <w:r>
        <w:rPr>
          <w:rFonts w:ascii="Arial" w:eastAsia="Arial" w:hAnsi="Arial" w:cs="Arial"/>
          <w:sz w:val="24"/>
          <w:szCs w:val="24"/>
        </w:rPr>
        <w:t>ltidisciplinario que abarque las áreas psicológicas, nutrición, cognición, como también profesionales para ayudar a las personas a recuperar su calidad de vida y retorno a la sociedad después de un largo periodo de hospitalización.</w:t>
      </w:r>
    </w:p>
    <w:p w:rsidR="009F0D1D" w:rsidRDefault="009F0D1D">
      <w:pPr>
        <w:rPr>
          <w:rFonts w:ascii="Arial" w:eastAsia="Arial" w:hAnsi="Arial" w:cs="Arial"/>
          <w:sz w:val="24"/>
          <w:szCs w:val="24"/>
        </w:rPr>
      </w:pPr>
    </w:p>
    <w:p w:rsidR="009F0D1D" w:rsidRDefault="009F0D1D">
      <w:pPr>
        <w:rPr>
          <w:rFonts w:ascii="Arial" w:eastAsia="Arial" w:hAnsi="Arial" w:cs="Arial"/>
          <w:b/>
          <w:sz w:val="24"/>
          <w:szCs w:val="24"/>
        </w:rPr>
      </w:pPr>
    </w:p>
    <w:p w:rsidR="009F0D1D" w:rsidRDefault="007A6F12">
      <w:pPr>
        <w:jc w:val="center"/>
        <w:rPr>
          <w:rFonts w:ascii="Arial" w:eastAsia="Arial" w:hAnsi="Arial" w:cs="Arial"/>
          <w:sz w:val="24"/>
          <w:szCs w:val="24"/>
        </w:rPr>
      </w:pPr>
      <w:r>
        <w:rPr>
          <w:rFonts w:ascii="Arial" w:eastAsia="Arial" w:hAnsi="Arial" w:cs="Arial"/>
          <w:b/>
          <w:sz w:val="24"/>
          <w:szCs w:val="24"/>
        </w:rPr>
        <w:lastRenderedPageBreak/>
        <w:t>CAPÍTULO X: REFERENCIA</w:t>
      </w:r>
      <w:r>
        <w:rPr>
          <w:rFonts w:ascii="Arial" w:eastAsia="Arial" w:hAnsi="Arial" w:cs="Arial"/>
          <w:b/>
          <w:sz w:val="24"/>
          <w:szCs w:val="24"/>
        </w:rPr>
        <w:t>S BIBLIOGRÁFICAS.</w:t>
      </w:r>
    </w:p>
    <w:p w:rsidR="009F0D1D" w:rsidRPr="00C74DC6" w:rsidRDefault="007A6F12">
      <w:pPr>
        <w:numPr>
          <w:ilvl w:val="0"/>
          <w:numId w:val="1"/>
        </w:numPr>
        <w:spacing w:after="0" w:line="360" w:lineRule="auto"/>
        <w:jc w:val="both"/>
        <w:rPr>
          <w:rFonts w:ascii="Arial" w:eastAsia="Arial" w:hAnsi="Arial" w:cs="Arial"/>
          <w:sz w:val="24"/>
          <w:szCs w:val="24"/>
          <w:lang w:val="en-US"/>
        </w:rPr>
      </w:pPr>
      <w:r>
        <w:rPr>
          <w:rFonts w:ascii="Arial" w:eastAsia="Arial" w:hAnsi="Arial" w:cs="Arial"/>
          <w:sz w:val="24"/>
          <w:szCs w:val="24"/>
        </w:rPr>
        <w:t xml:space="preserve">Las muertes por COVID-19 en todo el mundo serían entre 6,8 y 10 millones, dos o tres veces superiores a las reportadas | Noticias ONU [Internet]. </w:t>
      </w:r>
      <w:r w:rsidRPr="00C74DC6">
        <w:rPr>
          <w:rFonts w:ascii="Arial" w:eastAsia="Arial" w:hAnsi="Arial" w:cs="Arial"/>
          <w:sz w:val="24"/>
          <w:szCs w:val="24"/>
          <w:lang w:val="en-US"/>
        </w:rPr>
        <w:t xml:space="preserve">[cited 2022 May 8]. Available from: </w:t>
      </w:r>
      <w:hyperlink r:id="rId11">
        <w:r w:rsidRPr="00C74DC6">
          <w:rPr>
            <w:rFonts w:ascii="Arial" w:eastAsia="Arial" w:hAnsi="Arial" w:cs="Arial"/>
            <w:color w:val="1155CC"/>
            <w:sz w:val="24"/>
            <w:szCs w:val="24"/>
            <w:u w:val="single"/>
            <w:lang w:val="en-US"/>
          </w:rPr>
          <w:t>https://news.un.org/es/story/2021/05/1492332</w:t>
        </w:r>
      </w:hyperlink>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t xml:space="preserve">Emanuel EJ, Upshur R, Thome B, Parker M, Glickman A, Zhang C, et al. Fair Allocation of Scarce Medical Resources in the Time of Covid-19. n engl j med. 2020;382. Available from: </w:t>
      </w:r>
      <w:hyperlink r:id="rId12">
        <w:r w:rsidRPr="00C74DC6">
          <w:rPr>
            <w:rFonts w:ascii="Arial" w:eastAsia="Arial" w:hAnsi="Arial" w:cs="Arial"/>
            <w:color w:val="1155CC"/>
            <w:sz w:val="24"/>
            <w:szCs w:val="24"/>
            <w:u w:val="single"/>
            <w:lang w:val="en-US"/>
          </w:rPr>
          <w:t>http://www.scielo.org.bo/scielo.php?script=sci_arttext&amp;pid=S1652-67762020000100011</w:t>
        </w:r>
      </w:hyperlink>
    </w:p>
    <w:p w:rsidR="009F0D1D" w:rsidRPr="00C74DC6" w:rsidRDefault="007A6F12">
      <w:pPr>
        <w:numPr>
          <w:ilvl w:val="0"/>
          <w:numId w:val="1"/>
        </w:numPr>
        <w:spacing w:after="0" w:line="360" w:lineRule="auto"/>
        <w:jc w:val="both"/>
        <w:rPr>
          <w:rFonts w:ascii="Arial" w:eastAsia="Arial" w:hAnsi="Arial" w:cs="Arial"/>
          <w:sz w:val="24"/>
          <w:szCs w:val="24"/>
          <w:lang w:val="en-US"/>
        </w:rPr>
      </w:pPr>
      <w:r>
        <w:rPr>
          <w:rFonts w:ascii="Arial" w:eastAsia="Arial" w:hAnsi="Arial" w:cs="Arial"/>
          <w:sz w:val="24"/>
          <w:szCs w:val="24"/>
        </w:rPr>
        <w:t>Montaño LM, Flores-Soto E. COVID-19 y su asociación con los inhibidores de la enzima convertidor</w:t>
      </w:r>
      <w:r>
        <w:rPr>
          <w:rFonts w:ascii="Arial" w:eastAsia="Arial" w:hAnsi="Arial" w:cs="Arial"/>
          <w:sz w:val="24"/>
          <w:szCs w:val="24"/>
        </w:rPr>
        <w:t xml:space="preserve">a de angiotensina y los antagonistas de los receptores para angiotensina II Foto: jcomp/Freepik. </w:t>
      </w:r>
      <w:r w:rsidRPr="00C74DC6">
        <w:rPr>
          <w:rFonts w:ascii="Arial" w:eastAsia="Arial" w:hAnsi="Arial" w:cs="Arial"/>
          <w:sz w:val="24"/>
          <w:szCs w:val="24"/>
          <w:lang w:val="en-US"/>
        </w:rPr>
        <w:t xml:space="preserve">2020; Available from: </w:t>
      </w:r>
      <w:hyperlink r:id="rId13">
        <w:r w:rsidRPr="00C74DC6">
          <w:rPr>
            <w:rFonts w:ascii="Arial" w:eastAsia="Arial" w:hAnsi="Arial" w:cs="Arial"/>
            <w:color w:val="1155CC"/>
            <w:sz w:val="24"/>
            <w:szCs w:val="24"/>
            <w:u w:val="single"/>
            <w:lang w:val="en-US"/>
          </w:rPr>
          <w:t>https://www.medigraphic.com/pdfs/facmed/un-2020/un204e.pdf</w:t>
        </w:r>
      </w:hyperlink>
      <w:r w:rsidRPr="00C74DC6">
        <w:rPr>
          <w:rFonts w:ascii="Arial" w:eastAsia="Arial" w:hAnsi="Arial" w:cs="Arial"/>
          <w:sz w:val="24"/>
          <w:szCs w:val="24"/>
          <w:lang w:val="en-US"/>
        </w:rPr>
        <w:t xml:space="preserve"> </w:t>
      </w:r>
    </w:p>
    <w:p w:rsidR="009F0D1D" w:rsidRPr="00C74DC6" w:rsidRDefault="007A6F12">
      <w:pPr>
        <w:numPr>
          <w:ilvl w:val="0"/>
          <w:numId w:val="1"/>
        </w:numPr>
        <w:spacing w:after="0" w:line="360" w:lineRule="auto"/>
        <w:jc w:val="both"/>
        <w:rPr>
          <w:rFonts w:ascii="Arial" w:eastAsia="Arial" w:hAnsi="Arial" w:cs="Arial"/>
          <w:sz w:val="24"/>
          <w:szCs w:val="24"/>
          <w:lang w:val="en-US"/>
        </w:rPr>
      </w:pPr>
      <w:r>
        <w:rPr>
          <w:rFonts w:ascii="Arial" w:eastAsia="Arial" w:hAnsi="Arial" w:cs="Arial"/>
          <w:sz w:val="24"/>
          <w:szCs w:val="24"/>
        </w:rPr>
        <w:t xml:space="preserve">Llor C, Moragas A. Atención Primaria Coronavirus y atención primaria Coronavirus and primary care. </w:t>
      </w:r>
      <w:r w:rsidRPr="00C74DC6">
        <w:rPr>
          <w:rFonts w:ascii="Arial" w:eastAsia="Arial" w:hAnsi="Arial" w:cs="Arial"/>
          <w:sz w:val="24"/>
          <w:szCs w:val="24"/>
          <w:lang w:val="en-US"/>
        </w:rPr>
        <w:t xml:space="preserve">Atención Primaria [Internet]. 2020 [cited 2022 May 8];52:294–6. Available from: </w:t>
      </w:r>
      <w:hyperlink r:id="rId14">
        <w:r w:rsidRPr="00C74DC6">
          <w:rPr>
            <w:rFonts w:ascii="Arial" w:eastAsia="Arial" w:hAnsi="Arial" w:cs="Arial"/>
            <w:color w:val="1155CC"/>
            <w:sz w:val="24"/>
            <w:szCs w:val="24"/>
            <w:u w:val="single"/>
            <w:lang w:val="en-US"/>
          </w:rPr>
          <w:t>www.elsevier.es/ap</w:t>
        </w:r>
      </w:hyperlink>
    </w:p>
    <w:p w:rsidR="009F0D1D" w:rsidRDefault="007A6F12">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 xml:space="preserve">López-Ponce </w:t>
      </w:r>
      <w:r>
        <w:rPr>
          <w:rFonts w:ascii="Arial" w:eastAsia="Arial" w:hAnsi="Arial" w:cs="Arial"/>
          <w:sz w:val="24"/>
          <w:szCs w:val="24"/>
        </w:rPr>
        <w:t>de León JD, Cárdenas-Marín PA, Giraldo-González GC, Herrera-Escandón Á. Coronavirus - COVID 19: Más allá de la enfermedad pulmonar, qué es y qué sabemos del vínculo con el sistema cardiovascular. Revista Colombiana de Cardiología [Internet]. 2020 May 1 [ci</w:t>
      </w:r>
      <w:r>
        <w:rPr>
          <w:rFonts w:ascii="Arial" w:eastAsia="Arial" w:hAnsi="Arial" w:cs="Arial"/>
          <w:sz w:val="24"/>
          <w:szCs w:val="24"/>
        </w:rPr>
        <w:t xml:space="preserve">ted 2022 May 8];27(3):142–52. Available from: </w:t>
      </w:r>
      <w:hyperlink r:id="rId15">
        <w:r>
          <w:rPr>
            <w:rFonts w:ascii="Arial" w:eastAsia="Arial" w:hAnsi="Arial" w:cs="Arial"/>
            <w:color w:val="1155CC"/>
            <w:sz w:val="24"/>
            <w:szCs w:val="24"/>
            <w:u w:val="single"/>
          </w:rPr>
          <w:t>http://www.scielo.org.co/scielo.php?script=sci_arttext&amp;pid=S0120-56332020000300142&amp;ln</w:t>
        </w:r>
        <w:r>
          <w:rPr>
            <w:rFonts w:ascii="Arial" w:eastAsia="Arial" w:hAnsi="Arial" w:cs="Arial"/>
            <w:color w:val="1155CC"/>
            <w:sz w:val="24"/>
            <w:szCs w:val="24"/>
            <w:u w:val="single"/>
          </w:rPr>
          <w:t>g=en&amp;nrm=iso&amp;tlng=es</w:t>
        </w:r>
      </w:hyperlink>
    </w:p>
    <w:p w:rsidR="009F0D1D" w:rsidRDefault="007A6F12">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 xml:space="preserve">Cuevas Vilaplana A, Roldán Torres I, Vizuete del Río J. Miocarditis y trombosis in situ en ventrículo derecho en paciente COVID-19. Hipertensión y Riesgo Vascular. 2021 Jul 1;38(3):148–50. Available From: </w:t>
      </w:r>
      <w:hyperlink r:id="rId16">
        <w:r>
          <w:rPr>
            <w:rFonts w:ascii="Arial" w:eastAsia="Arial" w:hAnsi="Arial" w:cs="Arial"/>
            <w:color w:val="1155CC"/>
            <w:sz w:val="24"/>
            <w:szCs w:val="24"/>
            <w:u w:val="single"/>
          </w:rPr>
          <w:t>https://www.sciencedirect.com/science/article/pii/S1889183721000155</w:t>
        </w:r>
      </w:hyperlink>
    </w:p>
    <w:p w:rsidR="009F0D1D" w:rsidRPr="00C74DC6" w:rsidRDefault="007A6F12">
      <w:pPr>
        <w:numPr>
          <w:ilvl w:val="0"/>
          <w:numId w:val="1"/>
        </w:numPr>
        <w:spacing w:after="0" w:line="360" w:lineRule="auto"/>
        <w:jc w:val="both"/>
        <w:rPr>
          <w:rFonts w:ascii="Arial" w:eastAsia="Arial" w:hAnsi="Arial" w:cs="Arial"/>
          <w:sz w:val="24"/>
          <w:szCs w:val="24"/>
          <w:lang w:val="en-US"/>
        </w:rPr>
      </w:pPr>
      <w:r>
        <w:rPr>
          <w:rFonts w:ascii="Arial" w:eastAsia="Arial" w:hAnsi="Arial" w:cs="Arial"/>
          <w:sz w:val="24"/>
          <w:szCs w:val="24"/>
        </w:rPr>
        <w:t xml:space="preserve">Vista de Manifestaciones neurológicas de COVID-19. Revisión de la literatura [Internet]. </w:t>
      </w:r>
      <w:r w:rsidRPr="00C74DC6">
        <w:rPr>
          <w:rFonts w:ascii="Arial" w:eastAsia="Arial" w:hAnsi="Arial" w:cs="Arial"/>
          <w:sz w:val="24"/>
          <w:szCs w:val="24"/>
          <w:lang w:val="en-US"/>
        </w:rPr>
        <w:t xml:space="preserve">[cited 2022 May 8]. Available from: </w:t>
      </w:r>
      <w:hyperlink r:id="rId17">
        <w:r w:rsidRPr="00C74DC6">
          <w:rPr>
            <w:rFonts w:ascii="Arial" w:eastAsia="Arial" w:hAnsi="Arial" w:cs="Arial"/>
            <w:color w:val="1155CC"/>
            <w:sz w:val="24"/>
            <w:szCs w:val="24"/>
            <w:u w:val="single"/>
            <w:lang w:val="en-US"/>
          </w:rPr>
          <w:t>https://www.camjol.info/index.php/PEDIATRICA/article/view/11743/13556</w:t>
        </w:r>
      </w:hyperlink>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lastRenderedPageBreak/>
        <w:t>Greve JMD, Brech GC, Quintana M, Soares AL de S, Alonso AC. Impacts of covid-19 on the immune, neuromus</w:t>
      </w:r>
      <w:r w:rsidRPr="00C74DC6">
        <w:rPr>
          <w:rFonts w:ascii="Arial" w:eastAsia="Arial" w:hAnsi="Arial" w:cs="Arial"/>
          <w:sz w:val="24"/>
          <w:szCs w:val="24"/>
          <w:lang w:val="en-US"/>
        </w:rPr>
        <w:t xml:space="preserve">cular, and musculoskeletal systems and rehabilitation. </w:t>
      </w:r>
      <w:r>
        <w:rPr>
          <w:rFonts w:ascii="Arial" w:eastAsia="Arial" w:hAnsi="Arial" w:cs="Arial"/>
          <w:sz w:val="24"/>
          <w:szCs w:val="24"/>
        </w:rPr>
        <w:t xml:space="preserve">Revista Brasileira de Medicina do Esporte [Internet]. 2020 Jul 29 [cited 2022 May 8];26(4):285–8. </w:t>
      </w:r>
      <w:r w:rsidRPr="00C74DC6">
        <w:rPr>
          <w:rFonts w:ascii="Arial" w:eastAsia="Arial" w:hAnsi="Arial" w:cs="Arial"/>
          <w:sz w:val="24"/>
          <w:szCs w:val="24"/>
          <w:lang w:val="en-US"/>
        </w:rPr>
        <w:t xml:space="preserve">Available from: </w:t>
      </w:r>
      <w:hyperlink r:id="rId18">
        <w:r w:rsidRPr="00C74DC6">
          <w:rPr>
            <w:rFonts w:ascii="Arial" w:eastAsia="Arial" w:hAnsi="Arial" w:cs="Arial"/>
            <w:color w:val="1155CC"/>
            <w:sz w:val="24"/>
            <w:szCs w:val="24"/>
            <w:u w:val="single"/>
            <w:lang w:val="en-US"/>
          </w:rPr>
          <w:t>http://www.scielo.br/j/rbme/a/BFf6PYVqkSc3cbNvXg9cG4j/abstract/?lang=en</w:t>
        </w:r>
      </w:hyperlink>
    </w:p>
    <w:p w:rsidR="009F0D1D" w:rsidRDefault="007A6F12">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 xml:space="preserve">Al-Jahdhami I, Al-naamani1 K, Al-Mawali A, Bennji SM. </w:t>
      </w:r>
      <w:r w:rsidRPr="00C74DC6">
        <w:rPr>
          <w:rFonts w:ascii="Arial" w:eastAsia="Arial" w:hAnsi="Arial" w:cs="Arial"/>
          <w:sz w:val="24"/>
          <w:szCs w:val="24"/>
          <w:lang w:val="en-US"/>
        </w:rPr>
        <w:t xml:space="preserve">Respiratory Complications after COVID-19. Oman Medical Journal [Internet]. </w:t>
      </w:r>
      <w:r>
        <w:rPr>
          <w:rFonts w:ascii="Arial" w:eastAsia="Arial" w:hAnsi="Arial" w:cs="Arial"/>
          <w:sz w:val="24"/>
          <w:szCs w:val="24"/>
        </w:rPr>
        <w:t>2022 Jan 31 [cited 2022 May 8];37(1):e343. Available from: /pmc/articles/PMC8907756/</w:t>
      </w:r>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t>Polverino E, Goeminne PC, Mcdonnell MJ, Al</w:t>
      </w:r>
      <w:r w:rsidRPr="00C74DC6">
        <w:rPr>
          <w:rFonts w:ascii="Arial" w:eastAsia="Arial" w:hAnsi="Arial" w:cs="Arial"/>
          <w:sz w:val="24"/>
          <w:szCs w:val="24"/>
          <w:lang w:val="en-US"/>
        </w:rPr>
        <w:t>iberti S, Marshall SE, Loebinger MR, et al. European Respiratory Society guidelines for the management of adult bronchiectasis TASK FORCE REPORT ERS GUIDELINES Scope and objectives. Eur Respir J [Internet]. 2017 [cited 2022 Jun 8];50:1700629. Available fro</w:t>
      </w:r>
      <w:r w:rsidRPr="00C74DC6">
        <w:rPr>
          <w:rFonts w:ascii="Arial" w:eastAsia="Arial" w:hAnsi="Arial" w:cs="Arial"/>
          <w:sz w:val="24"/>
          <w:szCs w:val="24"/>
          <w:lang w:val="en-US"/>
        </w:rPr>
        <w:t>m: http://ow.ly/wQSO30dU0nE</w:t>
      </w:r>
    </w:p>
    <w:p w:rsidR="009F0D1D" w:rsidRDefault="007A6F12">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Consejo y Comité Editorial [Internet]. integracion-academica.org. Available from: https://integracion-academica.org/attachments/article/272/02%20Salud%20psicologica%20-%20MEMurueta.pdf</w:t>
      </w:r>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t>‌Dessie ZG, Zewotir T. Mortality-related risk factors of COVID-19: a systematic review and meta-analysis of 42 studies and 423,117 patients. BMC Infect Dis [Internet]. 2021 Dec 1 [cited 2022 May 7];21(1). Available from: https://pubmed.ncbi.nlm.nih.gov/344</w:t>
      </w:r>
      <w:r w:rsidRPr="00C74DC6">
        <w:rPr>
          <w:rFonts w:ascii="Arial" w:eastAsia="Arial" w:hAnsi="Arial" w:cs="Arial"/>
          <w:sz w:val="24"/>
          <w:szCs w:val="24"/>
          <w:lang w:val="en-US"/>
        </w:rPr>
        <w:t>18980/</w:t>
      </w:r>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t xml:space="preserve">La hipertensión arterial [Internet]. [cited 2022 May 8]. Available from: </w:t>
      </w:r>
      <w:hyperlink r:id="rId19">
        <w:r w:rsidRPr="00C74DC6">
          <w:rPr>
            <w:rFonts w:ascii="Arial" w:eastAsia="Arial" w:hAnsi="Arial" w:cs="Arial"/>
            <w:color w:val="1155CC"/>
            <w:sz w:val="24"/>
            <w:szCs w:val="24"/>
            <w:u w:val="single"/>
            <w:lang w:val="en-US"/>
          </w:rPr>
          <w:t>http://scielo.sld.cu/scielo.php?pid=S0034-75232011000300001&amp;script=sci</w:t>
        </w:r>
        <w:r w:rsidRPr="00C74DC6">
          <w:rPr>
            <w:rFonts w:ascii="Arial" w:eastAsia="Arial" w:hAnsi="Arial" w:cs="Arial"/>
            <w:color w:val="1155CC"/>
            <w:sz w:val="24"/>
            <w:szCs w:val="24"/>
            <w:u w:val="single"/>
            <w:lang w:val="en-US"/>
          </w:rPr>
          <w:t>_arttext&amp;tlng=en</w:t>
        </w:r>
      </w:hyperlink>
      <w:r w:rsidRPr="00C74DC6">
        <w:rPr>
          <w:rFonts w:ascii="Arial" w:eastAsia="Arial" w:hAnsi="Arial" w:cs="Arial"/>
          <w:sz w:val="24"/>
          <w:szCs w:val="24"/>
          <w:lang w:val="en-US"/>
        </w:rPr>
        <w:t>.</w:t>
      </w:r>
    </w:p>
    <w:p w:rsidR="009F0D1D" w:rsidRDefault="007A6F12">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Salazar M, Barochiner J, Espeche W, Ennis I. COVID-19, hipertensión y enfermedad cardiovascular. Hipertensión y Riesgo Vascular. 2020 Oct 1;37(4):176–80.</w:t>
      </w:r>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t>Puri A, He L, Giri M, Wu C, Zhao Q. Comparison of comorbidities among severe and non</w:t>
      </w:r>
      <w:r w:rsidRPr="00C74DC6">
        <w:rPr>
          <w:rFonts w:ascii="Arial" w:eastAsia="Arial" w:hAnsi="Arial" w:cs="Arial"/>
          <w:sz w:val="24"/>
          <w:szCs w:val="24"/>
          <w:lang w:val="en-US"/>
        </w:rPr>
        <w:t xml:space="preserve">-severe COVID-19 patients in Asian versus non-Asian populations: A systematic review and meta-analysis. Nurs Open [Internet]. 2022 Jan 1 [cited 2022 May 7];9(1):733–51. Available from: </w:t>
      </w:r>
      <w:hyperlink r:id="rId20">
        <w:r w:rsidRPr="00C74DC6">
          <w:rPr>
            <w:rFonts w:ascii="Arial" w:eastAsia="Arial" w:hAnsi="Arial" w:cs="Arial"/>
            <w:color w:val="1155CC"/>
            <w:sz w:val="24"/>
            <w:szCs w:val="24"/>
            <w:u w:val="single"/>
            <w:lang w:val="en-US"/>
          </w:rPr>
          <w:t>https://pu</w:t>
        </w:r>
        <w:r w:rsidRPr="00C74DC6">
          <w:rPr>
            <w:rFonts w:ascii="Arial" w:eastAsia="Arial" w:hAnsi="Arial" w:cs="Arial"/>
            <w:color w:val="1155CC"/>
            <w:sz w:val="24"/>
            <w:szCs w:val="24"/>
            <w:u w:val="single"/>
            <w:lang w:val="en-US"/>
          </w:rPr>
          <w:t>bmed.ncbi.nlm.nih.gov/34761532/</w:t>
        </w:r>
      </w:hyperlink>
    </w:p>
    <w:p w:rsidR="009F0D1D" w:rsidRPr="00C74DC6" w:rsidRDefault="007A6F12">
      <w:pPr>
        <w:numPr>
          <w:ilvl w:val="0"/>
          <w:numId w:val="1"/>
        </w:numPr>
        <w:spacing w:after="0" w:line="360" w:lineRule="auto"/>
        <w:jc w:val="both"/>
        <w:rPr>
          <w:rFonts w:ascii="Arial" w:eastAsia="Arial" w:hAnsi="Arial" w:cs="Arial"/>
          <w:sz w:val="24"/>
          <w:szCs w:val="24"/>
          <w:lang w:val="en-US"/>
        </w:rPr>
      </w:pPr>
      <w:r>
        <w:rPr>
          <w:rFonts w:ascii="Arial" w:eastAsia="Arial" w:hAnsi="Arial" w:cs="Arial"/>
          <w:sz w:val="24"/>
          <w:szCs w:val="24"/>
        </w:rPr>
        <w:lastRenderedPageBreak/>
        <w:t xml:space="preserve">Vista de Rehabilitación física y Covid- 19 [Internet]. </w:t>
      </w:r>
      <w:r w:rsidRPr="00C74DC6">
        <w:rPr>
          <w:rFonts w:ascii="Arial" w:eastAsia="Arial" w:hAnsi="Arial" w:cs="Arial"/>
          <w:sz w:val="24"/>
          <w:szCs w:val="24"/>
          <w:lang w:val="en-US"/>
        </w:rPr>
        <w:t xml:space="preserve">[cited 2022 May 8]. Available from: </w:t>
      </w:r>
      <w:hyperlink r:id="rId21">
        <w:r w:rsidRPr="00C74DC6">
          <w:rPr>
            <w:rFonts w:ascii="Arial" w:eastAsia="Arial" w:hAnsi="Arial" w:cs="Arial"/>
            <w:color w:val="1155CC"/>
            <w:sz w:val="24"/>
            <w:szCs w:val="24"/>
            <w:u w:val="single"/>
            <w:lang w:val="en-US"/>
          </w:rPr>
          <w:t>https://rus.ucf.edu.cu/index.php/rus/article/view/2620</w:t>
        </w:r>
        <w:r w:rsidRPr="00C74DC6">
          <w:rPr>
            <w:rFonts w:ascii="Arial" w:eastAsia="Arial" w:hAnsi="Arial" w:cs="Arial"/>
            <w:color w:val="1155CC"/>
            <w:sz w:val="24"/>
            <w:szCs w:val="24"/>
            <w:u w:val="single"/>
            <w:lang w:val="en-US"/>
          </w:rPr>
          <w:t>/2572</w:t>
        </w:r>
      </w:hyperlink>
    </w:p>
    <w:p w:rsidR="009F0D1D" w:rsidRDefault="007A6F12">
      <w:pPr>
        <w:numPr>
          <w:ilvl w:val="0"/>
          <w:numId w:val="1"/>
        </w:numPr>
        <w:spacing w:after="0" w:line="360" w:lineRule="auto"/>
        <w:jc w:val="both"/>
        <w:rPr>
          <w:rFonts w:ascii="Arial" w:eastAsia="Arial" w:hAnsi="Arial" w:cs="Arial"/>
          <w:sz w:val="24"/>
          <w:szCs w:val="24"/>
        </w:rPr>
      </w:pPr>
      <w:r>
        <w:rPr>
          <w:rFonts w:ascii="Arial" w:eastAsia="Arial" w:hAnsi="Arial" w:cs="Arial"/>
          <w:sz w:val="24"/>
          <w:szCs w:val="24"/>
        </w:rPr>
        <w:t>Director S, Aguilera Eguía R. CARTA AL DIRECTOR ¿Revisión sistemática, revisión narrativa o metaanálisis? Rev Soc Esp Dolor. 2014;21(6):359–60.</w:t>
      </w:r>
    </w:p>
    <w:p w:rsidR="009F0D1D" w:rsidRDefault="007A6F12">
      <w:pPr>
        <w:numPr>
          <w:ilvl w:val="0"/>
          <w:numId w:val="1"/>
        </w:numPr>
        <w:spacing w:after="0" w:line="360" w:lineRule="auto"/>
        <w:jc w:val="both"/>
        <w:rPr>
          <w:rFonts w:ascii="Arial" w:eastAsia="Arial" w:hAnsi="Arial" w:cs="Arial"/>
          <w:sz w:val="24"/>
          <w:szCs w:val="24"/>
        </w:rPr>
      </w:pPr>
      <w:r w:rsidRPr="00C74DC6">
        <w:rPr>
          <w:rFonts w:ascii="Arial" w:eastAsia="Arial" w:hAnsi="Arial" w:cs="Arial"/>
          <w:sz w:val="24"/>
          <w:szCs w:val="24"/>
          <w:lang w:val="en-US"/>
        </w:rPr>
        <w:t xml:space="preserve">Yan H, Ouyang Y, Wang L, Luo X, Zhan Q. Effect of respiratory rehabilitation training on elderly patients </w:t>
      </w:r>
      <w:r w:rsidRPr="00C74DC6">
        <w:rPr>
          <w:rFonts w:ascii="Arial" w:eastAsia="Arial" w:hAnsi="Arial" w:cs="Arial"/>
          <w:sz w:val="24"/>
          <w:szCs w:val="24"/>
          <w:lang w:val="en-US"/>
        </w:rPr>
        <w:t xml:space="preserve">with COVID-19 A protocol for systematic review and meta-analysis. </w:t>
      </w:r>
      <w:r>
        <w:rPr>
          <w:rFonts w:ascii="Arial" w:eastAsia="Arial" w:hAnsi="Arial" w:cs="Arial"/>
          <w:sz w:val="24"/>
          <w:szCs w:val="24"/>
        </w:rPr>
        <w:t xml:space="preserve">2020 [cited 2022 Dec 9]; Available from: </w:t>
      </w:r>
      <w:hyperlink r:id="rId22">
        <w:r>
          <w:rPr>
            <w:rFonts w:ascii="Arial" w:eastAsia="Arial" w:hAnsi="Arial" w:cs="Arial"/>
            <w:color w:val="1155CC"/>
            <w:sz w:val="24"/>
            <w:szCs w:val="24"/>
            <w:u w:val="single"/>
          </w:rPr>
          <w:t>http://dx.doi.org/10.1097/MD.0000000000022109</w:t>
        </w:r>
      </w:hyperlink>
    </w:p>
    <w:p w:rsidR="009F0D1D" w:rsidRDefault="007A6F12">
      <w:pPr>
        <w:numPr>
          <w:ilvl w:val="0"/>
          <w:numId w:val="1"/>
        </w:numPr>
        <w:spacing w:after="0" w:line="360" w:lineRule="auto"/>
        <w:jc w:val="both"/>
        <w:rPr>
          <w:rFonts w:ascii="Arial" w:eastAsia="Arial" w:hAnsi="Arial" w:cs="Arial"/>
          <w:sz w:val="24"/>
          <w:szCs w:val="24"/>
        </w:rPr>
      </w:pPr>
      <w:r w:rsidRPr="00C74DC6">
        <w:rPr>
          <w:rFonts w:ascii="Arial" w:eastAsia="Arial" w:hAnsi="Arial" w:cs="Arial"/>
          <w:sz w:val="24"/>
          <w:szCs w:val="24"/>
          <w:lang w:val="en-US"/>
        </w:rPr>
        <w:t>Abodonya AM, Kamal Abdelbasset W, Awad</w:t>
      </w:r>
      <w:r w:rsidRPr="00C74DC6">
        <w:rPr>
          <w:rFonts w:ascii="Arial" w:eastAsia="Arial" w:hAnsi="Arial" w:cs="Arial"/>
          <w:sz w:val="24"/>
          <w:szCs w:val="24"/>
          <w:lang w:val="en-US"/>
        </w:rPr>
        <w:t xml:space="preserve"> EA, Elalfy IE, Salem HA, Elsayed SH. Inspiratory muscle training for recovered COVID-19 patients after weaning from mechanical ventilation A pilot control clinical study. </w:t>
      </w:r>
      <w:r>
        <w:rPr>
          <w:rFonts w:ascii="Arial" w:eastAsia="Arial" w:hAnsi="Arial" w:cs="Arial"/>
          <w:sz w:val="24"/>
          <w:szCs w:val="24"/>
        </w:rPr>
        <w:t xml:space="preserve">2021 [cited 2022 Dec 9]; Available from: </w:t>
      </w:r>
      <w:hyperlink r:id="rId23">
        <w:r>
          <w:rPr>
            <w:rFonts w:ascii="Arial" w:eastAsia="Arial" w:hAnsi="Arial" w:cs="Arial"/>
            <w:color w:val="1155CC"/>
            <w:sz w:val="24"/>
            <w:szCs w:val="24"/>
            <w:u w:val="single"/>
          </w:rPr>
          <w:t>http://dx.doi.org/10.1097/MD.0000000000025339</w:t>
        </w:r>
      </w:hyperlink>
    </w:p>
    <w:p w:rsidR="009F0D1D" w:rsidRPr="00C74DC6" w:rsidRDefault="007A6F12">
      <w:pPr>
        <w:numPr>
          <w:ilvl w:val="0"/>
          <w:numId w:val="1"/>
        </w:numPr>
        <w:spacing w:after="0" w:line="360" w:lineRule="auto"/>
        <w:jc w:val="both"/>
        <w:rPr>
          <w:rFonts w:ascii="Arial" w:eastAsia="Arial" w:hAnsi="Arial" w:cs="Arial"/>
          <w:sz w:val="24"/>
          <w:szCs w:val="24"/>
          <w:lang w:val="en-US"/>
        </w:rPr>
      </w:pPr>
      <w:r w:rsidRPr="00C74DC6">
        <w:rPr>
          <w:rFonts w:ascii="Arial" w:eastAsia="Arial" w:hAnsi="Arial" w:cs="Arial"/>
          <w:sz w:val="24"/>
          <w:szCs w:val="24"/>
          <w:lang w:val="en-US"/>
        </w:rPr>
        <w:t xml:space="preserve">Hawke LD, Nguyen ATP, Ski CF, Thompson DR, Ma C, Castle D. Interventions for mental health, cognition, and psychological wellbeing in long COVID: a systematic review of registered trials. </w:t>
      </w:r>
      <w:r w:rsidRPr="00C74DC6">
        <w:rPr>
          <w:rFonts w:ascii="Arial" w:eastAsia="Arial" w:hAnsi="Arial" w:cs="Arial"/>
          <w:sz w:val="24"/>
          <w:szCs w:val="24"/>
          <w:lang w:val="en-US"/>
        </w:rPr>
        <w:t>Psychol Med [Internet]. 2022 [cited 2022 Nov 6]; Available from: https://pubmed.ncbi.nlm.nih.gov/35768406/</w:t>
      </w:r>
    </w:p>
    <w:p w:rsidR="009F0D1D" w:rsidRPr="00C74DC6" w:rsidRDefault="009F0D1D">
      <w:pPr>
        <w:rPr>
          <w:rFonts w:ascii="Arial" w:eastAsia="Arial" w:hAnsi="Arial" w:cs="Arial"/>
          <w:sz w:val="24"/>
          <w:szCs w:val="24"/>
          <w:lang w:val="en-US"/>
        </w:rPr>
      </w:pPr>
    </w:p>
    <w:p w:rsidR="009F0D1D" w:rsidRPr="00C74DC6" w:rsidRDefault="009F0D1D">
      <w:pPr>
        <w:rPr>
          <w:rFonts w:ascii="Arial" w:eastAsia="Arial" w:hAnsi="Arial" w:cs="Arial"/>
          <w:sz w:val="24"/>
          <w:szCs w:val="24"/>
          <w:lang w:val="en-US"/>
        </w:rPr>
      </w:pPr>
    </w:p>
    <w:p w:rsidR="009F0D1D" w:rsidRPr="00C74DC6" w:rsidRDefault="009F0D1D">
      <w:pPr>
        <w:rPr>
          <w:rFonts w:ascii="Arial" w:eastAsia="Arial" w:hAnsi="Arial" w:cs="Arial"/>
          <w:sz w:val="24"/>
          <w:szCs w:val="24"/>
          <w:lang w:val="en-US"/>
        </w:rPr>
      </w:pPr>
    </w:p>
    <w:p w:rsidR="009F0D1D" w:rsidRPr="00C74DC6" w:rsidRDefault="009F0D1D">
      <w:pPr>
        <w:rPr>
          <w:rFonts w:ascii="Arial" w:eastAsia="Arial" w:hAnsi="Arial" w:cs="Arial"/>
          <w:sz w:val="24"/>
          <w:szCs w:val="24"/>
          <w:lang w:val="en-US"/>
        </w:rPr>
      </w:pPr>
    </w:p>
    <w:p w:rsidR="009F0D1D" w:rsidRPr="00C74DC6" w:rsidRDefault="009F0D1D">
      <w:pPr>
        <w:rPr>
          <w:rFonts w:ascii="Arial" w:eastAsia="Arial" w:hAnsi="Arial" w:cs="Arial"/>
          <w:sz w:val="24"/>
          <w:szCs w:val="24"/>
          <w:lang w:val="en-US"/>
        </w:rPr>
      </w:pPr>
    </w:p>
    <w:p w:rsidR="009F0D1D" w:rsidRPr="00C74DC6" w:rsidRDefault="009F0D1D">
      <w:pPr>
        <w:rPr>
          <w:rFonts w:ascii="Arial" w:eastAsia="Arial" w:hAnsi="Arial" w:cs="Arial"/>
          <w:sz w:val="24"/>
          <w:szCs w:val="24"/>
          <w:lang w:val="en-US"/>
        </w:rPr>
      </w:pPr>
    </w:p>
    <w:p w:rsidR="009F0D1D" w:rsidRPr="00C74DC6" w:rsidRDefault="007A6F12">
      <w:pPr>
        <w:rPr>
          <w:rFonts w:ascii="Arial" w:eastAsia="Arial" w:hAnsi="Arial" w:cs="Arial"/>
          <w:sz w:val="24"/>
          <w:szCs w:val="24"/>
          <w:lang w:val="en-US"/>
        </w:rPr>
      </w:pPr>
      <w:r w:rsidRPr="00C74DC6">
        <w:rPr>
          <w:lang w:val="en-US"/>
        </w:rPr>
        <w:br w:type="page"/>
      </w:r>
    </w:p>
    <w:p w:rsidR="009F0D1D" w:rsidRDefault="007A6F12">
      <w:pPr>
        <w:jc w:val="center"/>
        <w:rPr>
          <w:rFonts w:ascii="Arial" w:eastAsia="Arial" w:hAnsi="Arial" w:cs="Arial"/>
          <w:b/>
          <w:sz w:val="24"/>
          <w:szCs w:val="24"/>
        </w:rPr>
      </w:pPr>
      <w:r>
        <w:rPr>
          <w:rFonts w:ascii="Arial" w:eastAsia="Arial" w:hAnsi="Arial" w:cs="Arial"/>
          <w:b/>
          <w:sz w:val="24"/>
          <w:szCs w:val="24"/>
        </w:rPr>
        <w:lastRenderedPageBreak/>
        <w:t>CAPÍTULO XI: ANEXOS</w:t>
      </w:r>
    </w:p>
    <w:tbl>
      <w:tblPr>
        <w:tblStyle w:val="a8"/>
        <w:tblW w:w="84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5"/>
      </w:tblGrid>
      <w:tr w:rsidR="009F0D1D">
        <w:trPr>
          <w:trHeight w:val="3771"/>
        </w:trPr>
        <w:tc>
          <w:tcPr>
            <w:tcW w:w="8495" w:type="dxa"/>
          </w:tcPr>
          <w:p w:rsidR="009F0D1D" w:rsidRDefault="007A6F12">
            <w:pPr>
              <w:spacing w:line="360" w:lineRule="auto"/>
              <w:jc w:val="both"/>
              <w:rPr>
                <w:rFonts w:ascii="Arial" w:eastAsia="Arial" w:hAnsi="Arial" w:cs="Arial"/>
                <w:b/>
                <w:sz w:val="24"/>
                <w:szCs w:val="24"/>
              </w:rPr>
            </w:pPr>
            <w:r>
              <w:rPr>
                <w:rFonts w:ascii="Arial" w:eastAsia="Arial" w:hAnsi="Arial" w:cs="Arial"/>
                <w:b/>
                <w:sz w:val="24"/>
                <w:szCs w:val="24"/>
              </w:rPr>
              <w:t>Estrategia de búsqueda usada en PubMed:</w:t>
            </w:r>
          </w:p>
          <w:p w:rsidR="009F0D1D" w:rsidRDefault="007A6F12">
            <w:pPr>
              <w:numPr>
                <w:ilvl w:val="0"/>
                <w:numId w:val="2"/>
              </w:numPr>
              <w:rPr>
                <w:rFonts w:ascii="Arial" w:eastAsia="Arial" w:hAnsi="Arial" w:cs="Arial"/>
                <w:sz w:val="24"/>
                <w:szCs w:val="24"/>
              </w:rPr>
            </w:pPr>
            <w:r>
              <w:rPr>
                <w:rFonts w:ascii="Arial" w:eastAsia="Arial" w:hAnsi="Arial" w:cs="Arial"/>
                <w:sz w:val="24"/>
                <w:szCs w:val="24"/>
              </w:rPr>
              <w:t>¨Covid-19¨ [Mesh].</w:t>
            </w:r>
          </w:p>
          <w:p w:rsidR="009F0D1D" w:rsidRDefault="007A6F12">
            <w:pPr>
              <w:numPr>
                <w:ilvl w:val="0"/>
                <w:numId w:val="2"/>
              </w:numPr>
              <w:rPr>
                <w:rFonts w:ascii="Arial" w:eastAsia="Arial" w:hAnsi="Arial" w:cs="Arial"/>
                <w:sz w:val="24"/>
                <w:szCs w:val="24"/>
              </w:rPr>
            </w:pPr>
            <w:r>
              <w:rPr>
                <w:rFonts w:ascii="Arial" w:eastAsia="Arial" w:hAnsi="Arial" w:cs="Arial"/>
                <w:sz w:val="24"/>
                <w:szCs w:val="24"/>
              </w:rPr>
              <w:t>¨Rehabilitation protocols¨.</w:t>
            </w:r>
          </w:p>
          <w:p w:rsidR="009F0D1D" w:rsidRDefault="007A6F12">
            <w:pPr>
              <w:numPr>
                <w:ilvl w:val="0"/>
                <w:numId w:val="2"/>
              </w:numPr>
              <w:rPr>
                <w:rFonts w:ascii="Arial" w:eastAsia="Arial" w:hAnsi="Arial" w:cs="Arial"/>
                <w:sz w:val="24"/>
                <w:szCs w:val="24"/>
              </w:rPr>
            </w:pPr>
            <w:r>
              <w:rPr>
                <w:rFonts w:ascii="Arial" w:eastAsia="Arial" w:hAnsi="Arial" w:cs="Arial"/>
                <w:sz w:val="24"/>
                <w:szCs w:val="24"/>
              </w:rPr>
              <w:t>¨Physical rehabilitation¨.</w:t>
            </w:r>
          </w:p>
          <w:p w:rsidR="009F0D1D" w:rsidRDefault="007A6F12">
            <w:pPr>
              <w:numPr>
                <w:ilvl w:val="0"/>
                <w:numId w:val="2"/>
              </w:numPr>
              <w:rPr>
                <w:rFonts w:ascii="Arial" w:eastAsia="Arial" w:hAnsi="Arial" w:cs="Arial"/>
                <w:sz w:val="24"/>
                <w:szCs w:val="24"/>
              </w:rPr>
            </w:pPr>
            <w:r>
              <w:rPr>
                <w:rFonts w:ascii="Arial" w:eastAsia="Arial" w:hAnsi="Arial" w:cs="Arial"/>
                <w:sz w:val="24"/>
                <w:szCs w:val="24"/>
              </w:rPr>
              <w:t>¨Physio</w:t>
            </w:r>
            <w:r>
              <w:rPr>
                <w:rFonts w:ascii="Arial" w:eastAsia="Arial" w:hAnsi="Arial" w:cs="Arial"/>
                <w:sz w:val="24"/>
                <w:szCs w:val="24"/>
              </w:rPr>
              <w:t>therapy¨</w:t>
            </w:r>
          </w:p>
          <w:p w:rsidR="009F0D1D" w:rsidRDefault="007A6F12">
            <w:pPr>
              <w:numPr>
                <w:ilvl w:val="0"/>
                <w:numId w:val="2"/>
              </w:numPr>
              <w:rPr>
                <w:rFonts w:ascii="Arial" w:eastAsia="Arial" w:hAnsi="Arial" w:cs="Arial"/>
                <w:sz w:val="24"/>
                <w:szCs w:val="24"/>
              </w:rPr>
            </w:pPr>
            <w:r>
              <w:rPr>
                <w:rFonts w:ascii="Arial" w:eastAsia="Arial" w:hAnsi="Arial" w:cs="Arial"/>
                <w:sz w:val="24"/>
                <w:szCs w:val="24"/>
              </w:rPr>
              <w:t>AND/ 1-4.</w:t>
            </w:r>
          </w:p>
          <w:p w:rsidR="009F0D1D" w:rsidRDefault="009F0D1D">
            <w:pPr>
              <w:rPr>
                <w:rFonts w:ascii="Arial" w:eastAsia="Arial" w:hAnsi="Arial" w:cs="Arial"/>
                <w:sz w:val="24"/>
                <w:szCs w:val="24"/>
              </w:rPr>
            </w:pPr>
          </w:p>
          <w:p w:rsidR="009F0D1D" w:rsidRDefault="009F0D1D">
            <w:pPr>
              <w:rPr>
                <w:rFonts w:ascii="Arial" w:eastAsia="Arial" w:hAnsi="Arial" w:cs="Arial"/>
                <w:b/>
                <w:sz w:val="24"/>
                <w:szCs w:val="24"/>
              </w:rPr>
            </w:pPr>
          </w:p>
          <w:p w:rsidR="009F0D1D" w:rsidRDefault="007A6F12">
            <w:pPr>
              <w:rPr>
                <w:rFonts w:ascii="Arial" w:eastAsia="Arial" w:hAnsi="Arial" w:cs="Arial"/>
                <w:b/>
                <w:sz w:val="24"/>
                <w:szCs w:val="24"/>
                <w:highlight w:val="yellow"/>
              </w:rPr>
            </w:pPr>
            <w:r>
              <w:rPr>
                <w:rFonts w:ascii="Arial" w:eastAsia="Arial" w:hAnsi="Arial" w:cs="Arial"/>
                <w:b/>
                <w:sz w:val="24"/>
                <w:szCs w:val="24"/>
              </w:rPr>
              <w:t>Estrategia de búsqueda usada en Lilacs:</w:t>
            </w:r>
          </w:p>
          <w:p w:rsidR="009F0D1D" w:rsidRDefault="009F0D1D">
            <w:pPr>
              <w:rPr>
                <w:rFonts w:ascii="Arial" w:eastAsia="Arial" w:hAnsi="Arial" w:cs="Arial"/>
                <w:sz w:val="24"/>
                <w:szCs w:val="24"/>
              </w:rPr>
            </w:pPr>
          </w:p>
          <w:p w:rsidR="009F0D1D" w:rsidRDefault="007A6F12">
            <w:pPr>
              <w:numPr>
                <w:ilvl w:val="0"/>
                <w:numId w:val="4"/>
              </w:numPr>
              <w:rPr>
                <w:rFonts w:ascii="Arial" w:eastAsia="Arial" w:hAnsi="Arial" w:cs="Arial"/>
                <w:sz w:val="24"/>
                <w:szCs w:val="24"/>
              </w:rPr>
            </w:pPr>
            <w:r>
              <w:rPr>
                <w:rFonts w:ascii="Arial" w:eastAsia="Arial" w:hAnsi="Arial" w:cs="Arial"/>
                <w:sz w:val="24"/>
                <w:szCs w:val="24"/>
              </w:rPr>
              <w:t>Covid Rehabilitación.</w:t>
            </w:r>
          </w:p>
          <w:p w:rsidR="009F0D1D" w:rsidRDefault="007A6F12">
            <w:pPr>
              <w:numPr>
                <w:ilvl w:val="0"/>
                <w:numId w:val="4"/>
              </w:numPr>
              <w:rPr>
                <w:rFonts w:ascii="Arial" w:eastAsia="Arial" w:hAnsi="Arial" w:cs="Arial"/>
                <w:sz w:val="24"/>
                <w:szCs w:val="24"/>
              </w:rPr>
            </w:pPr>
            <w:r>
              <w:rPr>
                <w:rFonts w:ascii="Arial" w:eastAsia="Arial" w:hAnsi="Arial" w:cs="Arial"/>
                <w:sz w:val="24"/>
                <w:szCs w:val="24"/>
              </w:rPr>
              <w:t>Rehabilitación física.</w:t>
            </w:r>
          </w:p>
          <w:p w:rsidR="009F0D1D" w:rsidRDefault="007A6F12">
            <w:pPr>
              <w:numPr>
                <w:ilvl w:val="0"/>
                <w:numId w:val="4"/>
              </w:numPr>
              <w:rPr>
                <w:rFonts w:ascii="Arial" w:eastAsia="Arial" w:hAnsi="Arial" w:cs="Arial"/>
                <w:sz w:val="24"/>
                <w:szCs w:val="24"/>
              </w:rPr>
            </w:pPr>
            <w:r>
              <w:rPr>
                <w:rFonts w:ascii="Arial" w:eastAsia="Arial" w:hAnsi="Arial" w:cs="Arial"/>
                <w:sz w:val="24"/>
                <w:szCs w:val="24"/>
              </w:rPr>
              <w:t>AND/ 1-2.</w:t>
            </w:r>
          </w:p>
          <w:p w:rsidR="009F0D1D" w:rsidRDefault="007A6F12">
            <w:pPr>
              <w:numPr>
                <w:ilvl w:val="0"/>
                <w:numId w:val="4"/>
              </w:numPr>
              <w:rPr>
                <w:rFonts w:ascii="Arial" w:eastAsia="Arial" w:hAnsi="Arial" w:cs="Arial"/>
                <w:sz w:val="24"/>
                <w:szCs w:val="24"/>
              </w:rPr>
            </w:pPr>
            <w:r>
              <w:rPr>
                <w:rFonts w:ascii="Arial" w:eastAsia="Arial" w:hAnsi="Arial" w:cs="Arial"/>
                <w:sz w:val="24"/>
                <w:szCs w:val="24"/>
              </w:rPr>
              <w:t>Filtro: Idioma (¨Español_Ingles¨)</w:t>
            </w:r>
          </w:p>
          <w:p w:rsidR="009F0D1D" w:rsidRDefault="009F0D1D">
            <w:pPr>
              <w:ind w:left="720"/>
              <w:rPr>
                <w:rFonts w:ascii="Arial" w:eastAsia="Arial" w:hAnsi="Arial" w:cs="Arial"/>
                <w:sz w:val="24"/>
                <w:szCs w:val="24"/>
              </w:rPr>
            </w:pPr>
          </w:p>
        </w:tc>
      </w:tr>
    </w:tbl>
    <w:p w:rsidR="009F0D1D" w:rsidRDefault="009F0D1D">
      <w:pPr>
        <w:rPr>
          <w:rFonts w:ascii="Arial" w:eastAsia="Arial" w:hAnsi="Arial" w:cs="Arial"/>
          <w:b/>
          <w:sz w:val="24"/>
          <w:szCs w:val="24"/>
        </w:rPr>
      </w:pPr>
    </w:p>
    <w:p w:rsidR="009F0D1D" w:rsidRDefault="009F0D1D">
      <w:pPr>
        <w:spacing w:after="0" w:line="360" w:lineRule="auto"/>
        <w:ind w:left="720"/>
        <w:jc w:val="both"/>
        <w:rPr>
          <w:rFonts w:ascii="Arial" w:eastAsia="Arial" w:hAnsi="Arial" w:cs="Arial"/>
          <w:sz w:val="24"/>
          <w:szCs w:val="24"/>
          <w:highlight w:val="yellow"/>
        </w:rPr>
      </w:pPr>
    </w:p>
    <w:p w:rsidR="009F0D1D" w:rsidRDefault="009F0D1D">
      <w:pPr>
        <w:spacing w:after="0" w:line="360" w:lineRule="auto"/>
        <w:ind w:left="720"/>
        <w:jc w:val="both"/>
        <w:rPr>
          <w:rFonts w:ascii="Arial" w:eastAsia="Arial" w:hAnsi="Arial" w:cs="Arial"/>
          <w:sz w:val="24"/>
          <w:szCs w:val="24"/>
          <w:highlight w:val="yellow"/>
        </w:rPr>
      </w:pPr>
    </w:p>
    <w:p w:rsidR="009F0D1D" w:rsidRDefault="009F0D1D">
      <w:pPr>
        <w:spacing w:after="0" w:line="360" w:lineRule="auto"/>
        <w:jc w:val="both"/>
        <w:rPr>
          <w:rFonts w:ascii="Arial" w:eastAsia="Arial" w:hAnsi="Arial" w:cs="Arial"/>
          <w:sz w:val="24"/>
          <w:szCs w:val="24"/>
          <w:highlight w:val="yellow"/>
        </w:rPr>
      </w:pPr>
    </w:p>
    <w:p w:rsidR="009F0D1D" w:rsidRDefault="009F0D1D">
      <w:pPr>
        <w:spacing w:after="0" w:line="360" w:lineRule="auto"/>
        <w:ind w:left="720"/>
        <w:jc w:val="both"/>
        <w:rPr>
          <w:rFonts w:ascii="Arial" w:eastAsia="Arial" w:hAnsi="Arial" w:cs="Arial"/>
          <w:sz w:val="24"/>
          <w:szCs w:val="24"/>
          <w:highlight w:val="yellow"/>
        </w:rPr>
      </w:pPr>
    </w:p>
    <w:p w:rsidR="009F0D1D" w:rsidRDefault="009F0D1D">
      <w:pPr>
        <w:rPr>
          <w:rFonts w:ascii="Arial" w:eastAsia="Arial" w:hAnsi="Arial" w:cs="Arial"/>
          <w:b/>
          <w:sz w:val="24"/>
          <w:szCs w:val="24"/>
        </w:rPr>
      </w:pPr>
    </w:p>
    <w:p w:rsidR="009F0D1D" w:rsidRDefault="009F0D1D">
      <w:pPr>
        <w:rPr>
          <w:rFonts w:ascii="Arial" w:eastAsia="Arial" w:hAnsi="Arial" w:cs="Arial"/>
          <w:sz w:val="24"/>
          <w:szCs w:val="24"/>
        </w:rPr>
      </w:pPr>
    </w:p>
    <w:p w:rsidR="009F0D1D" w:rsidRDefault="009F0D1D">
      <w:pPr>
        <w:rPr>
          <w:rFonts w:ascii="Arial" w:eastAsia="Arial" w:hAnsi="Arial" w:cs="Arial"/>
          <w:sz w:val="24"/>
          <w:szCs w:val="24"/>
        </w:rPr>
      </w:pPr>
    </w:p>
    <w:p w:rsidR="009F0D1D" w:rsidRDefault="009F0D1D">
      <w:pPr>
        <w:rPr>
          <w:rFonts w:ascii="Arial" w:eastAsia="Arial" w:hAnsi="Arial" w:cs="Arial"/>
          <w:sz w:val="24"/>
          <w:szCs w:val="24"/>
        </w:rPr>
      </w:pPr>
    </w:p>
    <w:p w:rsidR="009F0D1D" w:rsidRDefault="009F0D1D">
      <w:pPr>
        <w:rPr>
          <w:rFonts w:ascii="Arial" w:eastAsia="Arial" w:hAnsi="Arial" w:cs="Arial"/>
          <w:sz w:val="24"/>
          <w:szCs w:val="24"/>
        </w:rPr>
      </w:pPr>
    </w:p>
    <w:p w:rsidR="009F0D1D" w:rsidRDefault="009F0D1D">
      <w:pPr>
        <w:rPr>
          <w:rFonts w:ascii="Arial" w:eastAsia="Arial" w:hAnsi="Arial" w:cs="Arial"/>
          <w:sz w:val="24"/>
          <w:szCs w:val="24"/>
        </w:rPr>
      </w:pPr>
    </w:p>
    <w:sectPr w:rsidR="009F0D1D">
      <w:pgSz w:w="11907" w:h="16839"/>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6F12" w:rsidRDefault="007A6F12">
      <w:pPr>
        <w:spacing w:after="0" w:line="240" w:lineRule="auto"/>
      </w:pPr>
      <w:r>
        <w:separator/>
      </w:r>
    </w:p>
  </w:endnote>
  <w:endnote w:type="continuationSeparator" w:id="0">
    <w:p w:rsidR="007A6F12" w:rsidRDefault="007A6F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altName w:val="Arial"/>
    <w:panose1 w:val="020B0604020202020204"/>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6F12" w:rsidRDefault="007A6F12">
      <w:pPr>
        <w:spacing w:after="0" w:line="240" w:lineRule="auto"/>
      </w:pPr>
      <w:r>
        <w:separator/>
      </w:r>
    </w:p>
  </w:footnote>
  <w:footnote w:type="continuationSeparator" w:id="0">
    <w:p w:rsidR="007A6F12" w:rsidRDefault="007A6F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0D1D" w:rsidRDefault="009F0D1D">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BA210C"/>
    <w:multiLevelType w:val="multilevel"/>
    <w:tmpl w:val="074A09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6B23D5E"/>
    <w:multiLevelType w:val="multilevel"/>
    <w:tmpl w:val="19985F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4A0E35FC"/>
    <w:multiLevelType w:val="multilevel"/>
    <w:tmpl w:val="8E3074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DA75296"/>
    <w:multiLevelType w:val="multilevel"/>
    <w:tmpl w:val="24948C8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517076C4"/>
    <w:multiLevelType w:val="multilevel"/>
    <w:tmpl w:val="3170E0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2E7365D"/>
    <w:multiLevelType w:val="multilevel"/>
    <w:tmpl w:val="98E0366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6" w15:restartNumberingAfterBreak="0">
    <w:nsid w:val="602A6892"/>
    <w:multiLevelType w:val="multilevel"/>
    <w:tmpl w:val="DA7A017A"/>
    <w:lvl w:ilvl="0">
      <w:start w:val="3"/>
      <w:numFmt w:val="decimal"/>
      <w:lvlText w:val="%1"/>
      <w:lvlJc w:val="left"/>
      <w:pPr>
        <w:ind w:left="360" w:hanging="360"/>
      </w:pPr>
      <w:rPr>
        <w:rFonts w:ascii="Arial" w:eastAsia="Arial" w:hAnsi="Arial" w:cs="Arial"/>
      </w:rPr>
    </w:lvl>
    <w:lvl w:ilvl="1">
      <w:start w:val="1"/>
      <w:numFmt w:val="decimal"/>
      <w:lvlText w:val="%1.%2"/>
      <w:lvlJc w:val="left"/>
      <w:pPr>
        <w:ind w:left="360" w:hanging="360"/>
      </w:pPr>
      <w:rPr>
        <w:rFonts w:ascii="Arial" w:eastAsia="Arial" w:hAnsi="Arial" w:cs="Arial"/>
      </w:rPr>
    </w:lvl>
    <w:lvl w:ilvl="2">
      <w:start w:val="1"/>
      <w:numFmt w:val="decimal"/>
      <w:lvlText w:val="%1.%2.%3"/>
      <w:lvlJc w:val="left"/>
      <w:pPr>
        <w:ind w:left="720" w:hanging="720"/>
      </w:pPr>
      <w:rPr>
        <w:rFonts w:ascii="Arial" w:eastAsia="Arial" w:hAnsi="Arial" w:cs="Arial"/>
      </w:rPr>
    </w:lvl>
    <w:lvl w:ilvl="3">
      <w:start w:val="1"/>
      <w:numFmt w:val="decimal"/>
      <w:lvlText w:val="%1.%2.%3.%4"/>
      <w:lvlJc w:val="left"/>
      <w:pPr>
        <w:ind w:left="720" w:hanging="720"/>
      </w:pPr>
      <w:rPr>
        <w:rFonts w:ascii="Arial" w:eastAsia="Arial" w:hAnsi="Arial" w:cs="Arial"/>
      </w:rPr>
    </w:lvl>
    <w:lvl w:ilvl="4">
      <w:start w:val="1"/>
      <w:numFmt w:val="decimal"/>
      <w:lvlText w:val="%1.%2.%3.%4.%5"/>
      <w:lvlJc w:val="left"/>
      <w:pPr>
        <w:ind w:left="1080" w:hanging="1080"/>
      </w:pPr>
      <w:rPr>
        <w:rFonts w:ascii="Arial" w:eastAsia="Arial" w:hAnsi="Arial" w:cs="Arial"/>
      </w:rPr>
    </w:lvl>
    <w:lvl w:ilvl="5">
      <w:start w:val="1"/>
      <w:numFmt w:val="decimal"/>
      <w:lvlText w:val="%1.%2.%3.%4.%5.%6"/>
      <w:lvlJc w:val="left"/>
      <w:pPr>
        <w:ind w:left="1080" w:hanging="1080"/>
      </w:pPr>
      <w:rPr>
        <w:rFonts w:ascii="Arial" w:eastAsia="Arial" w:hAnsi="Arial" w:cs="Arial"/>
      </w:rPr>
    </w:lvl>
    <w:lvl w:ilvl="6">
      <w:start w:val="1"/>
      <w:numFmt w:val="decimal"/>
      <w:lvlText w:val="%1.%2.%3.%4.%5.%6.%7"/>
      <w:lvlJc w:val="left"/>
      <w:pPr>
        <w:ind w:left="1440" w:hanging="1440"/>
      </w:pPr>
      <w:rPr>
        <w:rFonts w:ascii="Arial" w:eastAsia="Arial" w:hAnsi="Arial" w:cs="Arial"/>
      </w:rPr>
    </w:lvl>
    <w:lvl w:ilvl="7">
      <w:start w:val="1"/>
      <w:numFmt w:val="decimal"/>
      <w:lvlText w:val="%1.%2.%3.%4.%5.%6.%7.%8"/>
      <w:lvlJc w:val="left"/>
      <w:pPr>
        <w:ind w:left="1440" w:hanging="1440"/>
      </w:pPr>
      <w:rPr>
        <w:rFonts w:ascii="Arial" w:eastAsia="Arial" w:hAnsi="Arial" w:cs="Arial"/>
      </w:rPr>
    </w:lvl>
    <w:lvl w:ilvl="8">
      <w:start w:val="1"/>
      <w:numFmt w:val="decimal"/>
      <w:lvlText w:val="%1.%2.%3.%4.%5.%6.%7.%8.%9"/>
      <w:lvlJc w:val="left"/>
      <w:pPr>
        <w:ind w:left="1800" w:hanging="1800"/>
      </w:pPr>
      <w:rPr>
        <w:rFonts w:ascii="Arial" w:eastAsia="Arial" w:hAnsi="Arial" w:cs="Arial"/>
      </w:rPr>
    </w:lvl>
  </w:abstractNum>
  <w:abstractNum w:abstractNumId="7" w15:restartNumberingAfterBreak="0">
    <w:nsid w:val="7D8D5C1F"/>
    <w:multiLevelType w:val="multilevel"/>
    <w:tmpl w:val="9C9A26A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7"/>
  </w:num>
  <w:num w:numId="4">
    <w:abstractNumId w:val="3"/>
  </w:num>
  <w:num w:numId="5">
    <w:abstractNumId w:val="5"/>
  </w:num>
  <w:num w:numId="6">
    <w:abstractNumId w:val="4"/>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D1D"/>
    <w:rsid w:val="007A6F12"/>
    <w:rsid w:val="009F0D1D"/>
    <w:rsid w:val="00C74D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53B606"/>
  <w15:docId w15:val="{FBC95DB6-6F6D-4A87-8D8B-7E109C48DC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top w:w="100" w:type="dxa"/>
        <w:left w:w="100" w:type="dxa"/>
        <w:bottom w:w="100" w:type="dxa"/>
        <w:right w:w="100" w:type="dxa"/>
      </w:tblCellMar>
    </w:tblPr>
  </w:style>
  <w:style w:type="table" w:customStyle="1" w:styleId="a0">
    <w:basedOn w:val="TableNormal2"/>
    <w:tblPr>
      <w:tblStyleRowBandSize w:val="1"/>
      <w:tblStyleColBandSize w:val="1"/>
      <w:tblCellMar>
        <w:top w:w="100" w:type="dxa"/>
        <w:left w:w="100" w:type="dxa"/>
        <w:bottom w:w="100" w:type="dxa"/>
        <w:right w:w="100" w:type="dxa"/>
      </w:tblCellMar>
    </w:tblPr>
  </w:style>
  <w:style w:type="table" w:customStyle="1" w:styleId="a1">
    <w:basedOn w:val="TableNormal2"/>
    <w:tblPr>
      <w:tblStyleRowBandSize w:val="1"/>
      <w:tblStyleColBandSize w:val="1"/>
      <w:tblCellMar>
        <w:top w:w="100" w:type="dxa"/>
        <w:left w:w="100" w:type="dxa"/>
        <w:bottom w:w="100" w:type="dxa"/>
        <w:right w:w="100" w:type="dxa"/>
      </w:tblCellMar>
    </w:tblPr>
  </w:style>
  <w:style w:type="table" w:customStyle="1" w:styleId="a2">
    <w:basedOn w:val="TableNormal2"/>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8E60BE"/>
    <w:rPr>
      <w:sz w:val="16"/>
      <w:szCs w:val="16"/>
    </w:rPr>
  </w:style>
  <w:style w:type="paragraph" w:styleId="Textocomentario">
    <w:name w:val="annotation text"/>
    <w:basedOn w:val="Normal"/>
    <w:link w:val="TextocomentarioCar"/>
    <w:uiPriority w:val="99"/>
    <w:unhideWhenUsed/>
    <w:rsid w:val="008E60BE"/>
    <w:pPr>
      <w:spacing w:line="240" w:lineRule="auto"/>
    </w:pPr>
    <w:rPr>
      <w:sz w:val="20"/>
      <w:szCs w:val="20"/>
    </w:rPr>
  </w:style>
  <w:style w:type="character" w:customStyle="1" w:styleId="TextocomentarioCar">
    <w:name w:val="Texto comentario Car"/>
    <w:basedOn w:val="Fuentedeprrafopredeter"/>
    <w:link w:val="Textocomentario"/>
    <w:uiPriority w:val="99"/>
    <w:rsid w:val="008E60BE"/>
    <w:rPr>
      <w:sz w:val="20"/>
      <w:szCs w:val="20"/>
    </w:rPr>
  </w:style>
  <w:style w:type="paragraph" w:styleId="Asuntodelcomentario">
    <w:name w:val="annotation subject"/>
    <w:basedOn w:val="Textocomentario"/>
    <w:next w:val="Textocomentario"/>
    <w:link w:val="AsuntodelcomentarioCar"/>
    <w:uiPriority w:val="99"/>
    <w:semiHidden/>
    <w:unhideWhenUsed/>
    <w:rsid w:val="008E60BE"/>
    <w:rPr>
      <w:b/>
      <w:bCs/>
    </w:rPr>
  </w:style>
  <w:style w:type="character" w:customStyle="1" w:styleId="AsuntodelcomentarioCar">
    <w:name w:val="Asunto del comentario Car"/>
    <w:basedOn w:val="TextocomentarioCar"/>
    <w:link w:val="Asuntodelcomentario"/>
    <w:uiPriority w:val="99"/>
    <w:semiHidden/>
    <w:rsid w:val="008E60BE"/>
    <w:rPr>
      <w:b/>
      <w:bCs/>
      <w:sz w:val="20"/>
      <w:szCs w:val="20"/>
    </w:rPr>
  </w:style>
  <w:style w:type="paragraph" w:styleId="Prrafodelista">
    <w:name w:val="List Paragraph"/>
    <w:basedOn w:val="Normal"/>
    <w:uiPriority w:val="34"/>
    <w:qFormat/>
    <w:rsid w:val="008C3620"/>
    <w:pPr>
      <w:ind w:left="720"/>
      <w:contextualSpacing/>
    </w:pPr>
  </w:style>
  <w:style w:type="table" w:styleId="Tablaconcuadrcula">
    <w:name w:val="Table Grid"/>
    <w:basedOn w:val="Tablanormal"/>
    <w:uiPriority w:val="39"/>
    <w:rsid w:val="00882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styleId="Tablanormal2">
    <w:name w:val="Plain Table 2"/>
    <w:basedOn w:val="Tablanormal"/>
    <w:uiPriority w:val="42"/>
    <w:rsid w:val="00485A4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a6">
    <w:basedOn w:val="TableNormal0"/>
    <w:pPr>
      <w:spacing w:after="0" w:line="240" w:lineRule="auto"/>
    </w:pPr>
    <w:tblPr>
      <w:tblStyleRowBandSize w:val="1"/>
      <w:tblStyleColBandSize w:val="1"/>
      <w:tblCellMar>
        <w:top w:w="100" w:type="dxa"/>
        <w:left w:w="108" w:type="dxa"/>
        <w:bottom w:w="100" w:type="dxa"/>
        <w:right w:w="108" w:type="dxa"/>
      </w:tblCellMar>
    </w:tblPr>
  </w:style>
  <w:style w:type="table" w:customStyle="1" w:styleId="a7">
    <w:basedOn w:val="TableNormal0"/>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8">
    <w:basedOn w:val="TableNormal0"/>
    <w:pPr>
      <w:spacing w:after="0" w:line="240" w:lineRule="auto"/>
    </w:pPr>
    <w:tblPr>
      <w:tblStyleRowBandSize w:val="1"/>
      <w:tblStyleColBandSize w:val="1"/>
      <w:tblCellMar>
        <w:top w:w="100" w:type="dxa"/>
        <w:left w:w="108" w:type="dxa"/>
        <w:bottom w:w="10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medigraphic.com/pdfs/facmed/un-2020/un204e.pdf" TargetMode="External"/><Relationship Id="rId18" Type="http://schemas.openxmlformats.org/officeDocument/2006/relationships/hyperlink" Target="http://www.scielo.br/j/rbme/a/BFf6PYVqkSc3cbNvXg9cG4j/abstract/?lang=en" TargetMode="External"/><Relationship Id="rId3" Type="http://schemas.openxmlformats.org/officeDocument/2006/relationships/styles" Target="styles.xml"/><Relationship Id="rId21" Type="http://schemas.openxmlformats.org/officeDocument/2006/relationships/hyperlink" Target="https://rus.ucf.edu.cu/index.php/rus/article/view/2620/2572" TargetMode="External"/><Relationship Id="rId7" Type="http://schemas.openxmlformats.org/officeDocument/2006/relationships/endnotes" Target="endnotes.xml"/><Relationship Id="rId12" Type="http://schemas.openxmlformats.org/officeDocument/2006/relationships/hyperlink" Target="http://www.scielo.org.bo/scielo.php?script=sci_arttext&amp;pid=S1652-67762020000100011" TargetMode="External"/><Relationship Id="rId17" Type="http://schemas.openxmlformats.org/officeDocument/2006/relationships/hyperlink" Target="https://www.camjol.info/index.php/PEDIATRICA/article/view/11743/1355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ciencedirect.com/science/article/pii/S1889183721000155" TargetMode="External"/><Relationship Id="rId20" Type="http://schemas.openxmlformats.org/officeDocument/2006/relationships/hyperlink" Target="https://pubmed.ncbi.nlm.nih.gov/347615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ews.un.org/es/story/2021/05/1492332"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scielo.org.co/scielo.php?script=sci_arttext&amp;pid=S0120-56332020000300142&amp;lng=en&amp;nrm=iso&amp;tlng=es" TargetMode="External"/><Relationship Id="rId23" Type="http://schemas.openxmlformats.org/officeDocument/2006/relationships/hyperlink" Target="http://dx.doi.org/10.1097/MD.0000000000025339" TargetMode="External"/><Relationship Id="rId10" Type="http://schemas.openxmlformats.org/officeDocument/2006/relationships/header" Target="header1.xml"/><Relationship Id="rId19" Type="http://schemas.openxmlformats.org/officeDocument/2006/relationships/hyperlink" Target="http://scielo.sld.cu/scielo.php?pid=S0034-75232011000300001&amp;script=sci_arttext&amp;tlng=e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elsevier.es/ap" TargetMode="External"/><Relationship Id="rId22" Type="http://schemas.openxmlformats.org/officeDocument/2006/relationships/hyperlink" Target="http://dx.doi.org/10.1097/MD.00000000000221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Xf9s5bBAdZQc7IY6taxhKYOxoA==">AMUW2mXRo25Q1bgatb1wdWivyiEG8Ekw3YInv40IPPFyuCQWmeW/7oGoBHZcFn6KMiQSIGqim5p9gxxzVJbPX3pUwTe78ioyFsJhbuxClQ+YMW9VxtHVhz6dmn+Trq3JLjW6+LS3sbKaK5sAn/LOroseReMiIq30y24YjVBmVKjUOk/030gHhMBjuT6tttAqQKWDveJU0AU1pwTklnAyeBqpMJedEFcS0PT7sBbov6omZfyO2FYVHTaZwj5fiHKA4sKs3ic73kbm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5858</Words>
  <Characters>33395</Characters>
  <Application>Microsoft Office Word</Application>
  <DocSecurity>0</DocSecurity>
  <Lines>278</Lines>
  <Paragraphs>78</Paragraphs>
  <ScaleCrop>false</ScaleCrop>
  <Company/>
  <LinksUpToDate>false</LinksUpToDate>
  <CharactersWithSpaces>39175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Dilan</cp:lastModifiedBy>
  <cp:revision>2</cp:revision>
  <dcterms:created xsi:type="dcterms:W3CDTF">2022-11-12T01:05:00Z</dcterms:created>
  <dcterms:modified xsi:type="dcterms:W3CDTF">2022-12-27T01:58:00Z</dcterms:modified>
</cp:coreProperties>
</file>